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ptos" w:hAnsi="Aptos"/>
          <w:b/>
          <w:i w:val="0"/>
          <w:color w:val="183651"/>
          <w:sz w:val="42"/>
        </w:rPr>
        <w:t>Folio 184: A Reading of Civic Address</w:t>
      </w:r>
    </w:p>
    <w:p>
      <w:pPr>
        <w:spacing w:after="320"/>
        <w:jc w:val="center"/>
      </w:pPr>
      <w:r>
        <w:rPr>
          <w:rFonts w:ascii="Aptos" w:hAnsi="Aptos"/>
          <w:b w:val="0"/>
          <w:i/>
          <w:color w:val="505A64"/>
          <w:sz w:val="21"/>
        </w:rPr>
        <w:t>Chapter 02 analytical draft | Linden Correspondence Series</w:t>
      </w:r>
    </w:p>
    <w:tbl>
      <w:tblPr>
        <w:tblStyle w:val="TableGrid"/>
        <w:tblW w:type="auto" w:w="0"/>
        <w:jc w:val="center"/>
        <w:tblLook w:firstColumn="1" w:firstRow="1" w:lastColumn="0" w:lastRow="0" w:noHBand="0" w:noVBand="1" w:val="04A0"/>
      </w:tblPr>
      <w:tblGrid>
        <w:gridCol w:w="4824"/>
        <w:gridCol w:w="4824"/>
      </w:tblGrid>
      <w:tr>
        <w:tc>
          <w:tcPr>
            <w:tcW w:type="dxa" w:w="2088"/>
            <w:shd w:fill="E8EEF5"/>
            <w:vAlign w:val="center"/>
          </w:tcPr>
          <w:p>
            <w:pPr>
              <w:spacing w:after="40"/>
            </w:pPr>
            <w:r>
              <w:rPr>
                <w:rFonts w:ascii="Aptos" w:hAnsi="Aptos"/>
                <w:b/>
                <w:i w:val="0"/>
                <w:color w:val="183651"/>
                <w:sz w:val="18"/>
              </w:rPr>
              <w:t>RESEARCH FRAME</w:t>
            </w:r>
          </w:p>
        </w:tc>
        <w:tc>
          <w:tcPr>
            <w:tcW w:type="dxa" w:w="6912"/>
            <w:shd w:fill="E8EEF5"/>
            <w:vAlign w:val="center"/>
          </w:tcPr>
          <w:p>
            <w:pPr>
              <w:spacing w:after="40"/>
            </w:pPr>
            <w:r>
              <w:rPr>
                <w:rFonts w:ascii="Aptos" w:hAnsi="Aptos"/>
                <w:b/>
                <w:i w:val="0"/>
                <w:color w:val="183651"/>
                <w:sz w:val="18"/>
              </w:rPr>
              <w:t>VALUE</w:t>
            </w:r>
          </w:p>
        </w:tc>
      </w:tr>
      <w:tr>
        <w:tc>
          <w:tcPr>
            <w:tcW w:type="dxa" w:w="2088"/>
            <w:vAlign w:val="center"/>
          </w:tcPr>
          <w:p>
            <w:pPr>
              <w:spacing w:after="40"/>
            </w:pPr>
            <w:r>
              <w:rPr>
                <w:rFonts w:ascii="Aptos" w:hAnsi="Aptos"/>
                <w:b w:val="0"/>
                <w:i w:val="0"/>
                <w:sz w:val="18"/>
              </w:rPr>
              <w:t>Archive unit</w:t>
            </w:r>
          </w:p>
        </w:tc>
        <w:tc>
          <w:tcPr>
            <w:tcW w:type="dxa" w:w="6912"/>
            <w:vAlign w:val="center"/>
          </w:tcPr>
          <w:p>
            <w:pPr>
              <w:spacing w:after="40"/>
            </w:pPr>
            <w:r>
              <w:rPr>
                <w:rFonts w:ascii="Aptos" w:hAnsi="Aptos"/>
                <w:b w:val="0"/>
                <w:i w:val="0"/>
                <w:sz w:val="18"/>
              </w:rPr>
              <w:t>Box 14 / Linden Correspondence Series</w:t>
            </w:r>
          </w:p>
        </w:tc>
      </w:tr>
      <w:tr>
        <w:tc>
          <w:tcPr>
            <w:tcW w:type="dxa" w:w="2088"/>
            <w:vAlign w:val="center"/>
          </w:tcPr>
          <w:p>
            <w:pPr>
              <w:spacing w:after="40"/>
            </w:pPr>
            <w:r>
              <w:rPr>
                <w:rFonts w:ascii="Aptos" w:hAnsi="Aptos"/>
                <w:b w:val="0"/>
                <w:i w:val="0"/>
                <w:sz w:val="18"/>
              </w:rPr>
              <w:t>Reference date</w:t>
            </w:r>
          </w:p>
        </w:tc>
        <w:tc>
          <w:tcPr>
            <w:tcW w:type="dxa" w:w="6912"/>
            <w:vAlign w:val="center"/>
          </w:tcPr>
          <w:p>
            <w:pPr>
              <w:spacing w:after="40"/>
            </w:pPr>
            <w:r>
              <w:rPr>
                <w:rFonts w:ascii="Aptos" w:hAnsi="Aptos"/>
                <w:b w:val="0"/>
                <w:i w:val="0"/>
                <w:sz w:val="18"/>
              </w:rPr>
              <w:t>2026-07-13</w:t>
            </w:r>
          </w:p>
        </w:tc>
      </w:tr>
      <w:tr>
        <w:tc>
          <w:tcPr>
            <w:tcW w:type="dxa" w:w="2088"/>
            <w:vAlign w:val="center"/>
          </w:tcPr>
          <w:p>
            <w:pPr>
              <w:spacing w:after="40"/>
            </w:pPr>
            <w:r>
              <w:rPr>
                <w:rFonts w:ascii="Aptos" w:hAnsi="Aptos"/>
                <w:b w:val="0"/>
                <w:i w:val="0"/>
                <w:sz w:val="18"/>
              </w:rPr>
              <w:t>Working citation</w:t>
            </w:r>
          </w:p>
        </w:tc>
        <w:tc>
          <w:tcPr>
            <w:tcW w:type="dxa" w:w="6912"/>
            <w:vAlign w:val="center"/>
          </w:tcPr>
          <w:p>
            <w:pPr>
              <w:spacing w:after="40"/>
            </w:pPr>
            <w:r>
              <w:rPr>
                <w:rFonts w:ascii="Aptos" w:hAnsi="Aptos"/>
                <w:b w:val="0"/>
                <w:i w:val="0"/>
                <w:sz w:val="18"/>
              </w:rPr>
              <w:t>citation LA-042</w:t>
            </w:r>
          </w:p>
        </w:tc>
      </w:tr>
    </w:tbl>
    <w:p>
      <w:pPr>
        <w:spacing w:after="40"/>
      </w:pPr>
    </w:p>
    <w:p>
      <w:pPr>
        <w:spacing w:before="200" w:after="80"/>
      </w:pPr>
      <w:r>
        <w:rPr>
          <w:rFonts w:ascii="Aptos" w:hAnsi="Aptos"/>
          <w:b/>
          <w:i w:val="0"/>
          <w:color w:val="183651"/>
          <w:sz w:val="26"/>
        </w:rPr>
        <w:t>Claim and scope</w:t>
      </w:r>
    </w:p>
    <w:p>
      <w:pPr>
        <w:spacing w:after="140" w:line="283" w:lineRule="auto"/>
      </w:pPr>
      <w:r>
        <w:rPr>
          <w:rFonts w:ascii="Aptos" w:hAnsi="Aptos"/>
          <w:b w:val="0"/>
          <w:i w:val="0"/>
          <w:sz w:val="21"/>
        </w:rPr>
        <w:t>This wholly synthetic dossier concerns the imagined Haldenmere Civic Repository and its Linden Correspondence Series. It makes no claim about an external archive, person, or collection.</w:t>
      </w:r>
    </w:p>
    <w:p>
      <w:pPr>
        <w:spacing w:after="140" w:line="283" w:lineRule="auto"/>
      </w:pPr>
      <w:r>
        <w:rPr>
          <w:rFonts w:ascii="Aptos" w:hAnsi="Aptos"/>
          <w:b w:val="0"/>
          <w:i w:val="0"/>
          <w:sz w:val="21"/>
        </w:rPr>
        <w:t>Folio 184 stages civic belonging as a practiced form of listening: a letter’s addressee is not merely named, but gradually assembled through repeated turns toward shared space. The chapter treats the leaf as an editorial object, with line breaks and marginal compression carrying argumentative weight.</w:t>
      </w:r>
    </w:p>
    <w:p>
      <w:pPr>
        <w:spacing w:before="200" w:after="80"/>
      </w:pPr>
      <w:r>
        <w:rPr>
          <w:rFonts w:ascii="Aptos" w:hAnsi="Aptos"/>
          <w:b/>
          <w:i w:val="0"/>
          <w:color w:val="183651"/>
          <w:sz w:val="26"/>
        </w:rPr>
        <w:t>Close reading</w:t>
      </w:r>
    </w:p>
    <w:p>
      <w:pPr>
        <w:spacing w:after="140" w:line="283" w:lineRule="auto"/>
      </w:pPr>
      <w:r>
        <w:rPr>
          <w:rFonts w:ascii="Aptos" w:hAnsi="Aptos"/>
          <w:b w:val="0"/>
          <w:i w:val="0"/>
          <w:sz w:val="21"/>
        </w:rPr>
        <w:t>The synthetic phrase ‘the linden's shade keeps the town's many tongues in one patient circle’ places shade, rather than law, at the center of cohesion. Its noun is architectural and botanical at once; its verb keeps implies care without enclosure.</w:t>
      </w:r>
    </w:p>
    <w:p>
      <w:pPr>
        <w:spacing w:after="140" w:line="283" w:lineRule="auto"/>
      </w:pPr>
      <w:r>
        <w:rPr>
          <w:rFonts w:ascii="Aptos" w:hAnsi="Aptos"/>
          <w:b w:val="0"/>
          <w:i w:val="0"/>
          <w:sz w:val="21"/>
        </w:rPr>
        <w:t>The paragraph’s three clauses move from place, to speech, to time. That sequence is the chapter’s core observation: the imagined writer drafts a public before it declares one.</w:t>
      </w:r>
    </w:p>
    <w:tbl>
      <w:tblPr>
        <w:tblStyle w:val="TableGrid"/>
        <w:tblW w:type="auto" w:w="0"/>
        <w:jc w:val="center"/>
        <w:tblLook w:firstColumn="1" w:firstRow="1" w:lastColumn="0" w:lastRow="0" w:noHBand="0" w:noVBand="1" w:val="04A0"/>
      </w:tblPr>
      <w:tblGrid>
        <w:gridCol w:w="3216"/>
        <w:gridCol w:w="3216"/>
        <w:gridCol w:w="3216"/>
      </w:tblGrid>
      <w:tr>
        <w:tc>
          <w:tcPr>
            <w:tcW w:type="dxa" w:w="1800"/>
            <w:shd w:fill="E8EEF5"/>
            <w:vAlign w:val="center"/>
          </w:tcPr>
          <w:p>
            <w:pPr>
              <w:spacing w:after="40"/>
            </w:pPr>
            <w:r>
              <w:rPr>
                <w:rFonts w:ascii="Aptos" w:hAnsi="Aptos"/>
                <w:b/>
                <w:i w:val="0"/>
                <w:color w:val="183651"/>
                <w:sz w:val="18"/>
              </w:rPr>
              <w:t>Feature</w:t>
            </w:r>
          </w:p>
        </w:tc>
        <w:tc>
          <w:tcPr>
            <w:tcW w:type="dxa" w:w="3096"/>
            <w:shd w:fill="E8EEF5"/>
            <w:vAlign w:val="center"/>
          </w:tcPr>
          <w:p>
            <w:pPr>
              <w:spacing w:after="40"/>
            </w:pPr>
            <w:r>
              <w:rPr>
                <w:rFonts w:ascii="Aptos" w:hAnsi="Aptos"/>
                <w:b/>
                <w:i w:val="0"/>
                <w:color w:val="183651"/>
                <w:sz w:val="18"/>
              </w:rPr>
              <w:t>Observed function</w:t>
            </w:r>
          </w:p>
        </w:tc>
        <w:tc>
          <w:tcPr>
            <w:tcW w:type="dxa" w:w="4104"/>
            <w:shd w:fill="E8EEF5"/>
            <w:vAlign w:val="center"/>
          </w:tcPr>
          <w:p>
            <w:pPr>
              <w:spacing w:after="40"/>
            </w:pPr>
            <w:r>
              <w:rPr>
                <w:rFonts w:ascii="Aptos" w:hAnsi="Aptos"/>
                <w:b/>
                <w:i w:val="0"/>
                <w:color w:val="183651"/>
                <w:sz w:val="18"/>
              </w:rPr>
              <w:t>Interpretive consequence</w:t>
            </w:r>
          </w:p>
        </w:tc>
      </w:tr>
      <w:tr>
        <w:tc>
          <w:tcPr>
            <w:tcW w:type="dxa" w:w="1800"/>
            <w:vAlign w:val="center"/>
          </w:tcPr>
          <w:p>
            <w:pPr>
              <w:spacing w:after="40"/>
            </w:pPr>
            <w:r>
              <w:rPr>
                <w:rFonts w:ascii="Aptos" w:hAnsi="Aptos"/>
                <w:b w:val="0"/>
                <w:i w:val="0"/>
                <w:sz w:val="18"/>
              </w:rPr>
              <w:t>Opening address</w:t>
            </w:r>
          </w:p>
        </w:tc>
        <w:tc>
          <w:tcPr>
            <w:tcW w:type="dxa" w:w="3096"/>
            <w:vAlign w:val="center"/>
          </w:tcPr>
          <w:p>
            <w:pPr>
              <w:spacing w:after="40"/>
            </w:pPr>
            <w:r>
              <w:rPr>
                <w:rFonts w:ascii="Aptos" w:hAnsi="Aptos"/>
                <w:b w:val="0"/>
                <w:i w:val="0"/>
                <w:sz w:val="18"/>
              </w:rPr>
              <w:t>Defers a personal name</w:t>
            </w:r>
          </w:p>
        </w:tc>
        <w:tc>
          <w:tcPr>
            <w:tcW w:type="dxa" w:w="4104"/>
            <w:vAlign w:val="center"/>
          </w:tcPr>
          <w:p>
            <w:pPr>
              <w:spacing w:after="40"/>
            </w:pPr>
            <w:r>
              <w:rPr>
                <w:rFonts w:ascii="Aptos" w:hAnsi="Aptos"/>
                <w:b w:val="0"/>
                <w:i w:val="0"/>
                <w:sz w:val="18"/>
              </w:rPr>
              <w:t>Makes readership collective</w:t>
            </w:r>
          </w:p>
        </w:tc>
      </w:tr>
      <w:tr>
        <w:tc>
          <w:tcPr>
            <w:tcW w:type="dxa" w:w="1800"/>
            <w:vAlign w:val="center"/>
          </w:tcPr>
          <w:p>
            <w:pPr>
              <w:spacing w:after="40"/>
            </w:pPr>
            <w:r>
              <w:rPr>
                <w:rFonts w:ascii="Aptos" w:hAnsi="Aptos"/>
                <w:b w:val="0"/>
                <w:i w:val="0"/>
                <w:sz w:val="18"/>
              </w:rPr>
              <w:t>Marginal dash</w:t>
            </w:r>
          </w:p>
        </w:tc>
        <w:tc>
          <w:tcPr>
            <w:tcW w:type="dxa" w:w="3096"/>
            <w:vAlign w:val="center"/>
          </w:tcPr>
          <w:p>
            <w:pPr>
              <w:spacing w:after="40"/>
            </w:pPr>
            <w:r>
              <w:rPr>
                <w:rFonts w:ascii="Aptos" w:hAnsi="Aptos"/>
                <w:b w:val="0"/>
                <w:i w:val="0"/>
                <w:sz w:val="18"/>
              </w:rPr>
              <w:t>Pauses before ‘circle’</w:t>
            </w:r>
          </w:p>
        </w:tc>
        <w:tc>
          <w:tcPr>
            <w:tcW w:type="dxa" w:w="4104"/>
            <w:vAlign w:val="center"/>
          </w:tcPr>
          <w:p>
            <w:pPr>
              <w:spacing w:after="40"/>
            </w:pPr>
            <w:r>
              <w:rPr>
                <w:rFonts w:ascii="Aptos" w:hAnsi="Aptos"/>
                <w:b w:val="0"/>
                <w:i w:val="0"/>
                <w:sz w:val="18"/>
              </w:rPr>
              <w:t>Keeps the final image provisional</w:t>
            </w:r>
          </w:p>
        </w:tc>
      </w:tr>
      <w:tr>
        <w:tc>
          <w:tcPr>
            <w:tcW w:type="dxa" w:w="1800"/>
            <w:vAlign w:val="center"/>
          </w:tcPr>
          <w:p>
            <w:pPr>
              <w:spacing w:after="40"/>
            </w:pPr>
            <w:r>
              <w:rPr>
                <w:rFonts w:ascii="Aptos" w:hAnsi="Aptos"/>
                <w:b w:val="0"/>
                <w:i w:val="0"/>
                <w:sz w:val="18"/>
              </w:rPr>
              <w:t>Closing line</w:t>
            </w:r>
          </w:p>
        </w:tc>
        <w:tc>
          <w:tcPr>
            <w:tcW w:type="dxa" w:w="3096"/>
            <w:vAlign w:val="center"/>
          </w:tcPr>
          <w:p>
            <w:pPr>
              <w:spacing w:after="40"/>
            </w:pPr>
            <w:r>
              <w:rPr>
                <w:rFonts w:ascii="Aptos" w:hAnsi="Aptos"/>
                <w:b w:val="0"/>
                <w:i w:val="0"/>
                <w:sz w:val="18"/>
              </w:rPr>
              <w:t>Returns to street-level detail</w:t>
            </w:r>
          </w:p>
        </w:tc>
        <w:tc>
          <w:tcPr>
            <w:tcW w:type="dxa" w:w="4104"/>
            <w:vAlign w:val="center"/>
          </w:tcPr>
          <w:p>
            <w:pPr>
              <w:spacing w:after="40"/>
            </w:pPr>
            <w:r>
              <w:rPr>
                <w:rFonts w:ascii="Aptos" w:hAnsi="Aptos"/>
                <w:b w:val="0"/>
                <w:i w:val="0"/>
                <w:sz w:val="18"/>
              </w:rPr>
              <w:t>Tests abstraction against place</w:t>
            </w:r>
          </w:p>
        </w:tc>
      </w:tr>
    </w:tbl>
    <w:p>
      <w:pPr>
        <w:spacing w:after="40"/>
      </w:pPr>
    </w:p>
    <w:p>
      <w:pPr>
        <w:spacing w:before="200" w:after="80"/>
      </w:pPr>
      <w:r>
        <w:rPr>
          <w:rFonts w:ascii="Aptos" w:hAnsi="Aptos"/>
          <w:b/>
          <w:i w:val="0"/>
          <w:color w:val="183651"/>
          <w:sz w:val="26"/>
        </w:rPr>
        <w:t>Editorial implications</w:t>
      </w:r>
    </w:p>
    <w:p>
      <w:pPr>
        <w:spacing w:after="140" w:line="283" w:lineRule="auto"/>
      </w:pPr>
      <w:r>
        <w:rPr>
          <w:rFonts w:ascii="Aptos" w:hAnsi="Aptos"/>
          <w:b w:val="0"/>
          <w:i w:val="0"/>
          <w:sz w:val="21"/>
        </w:rPr>
        <w:t>The transcription retains uncertain spacing where it shapes rhythm, but normalizes no spelling for effect. The translated phrasing is therefore a reading aid, not a substitute for the synthetic source.</w:t>
      </w:r>
    </w:p>
    <w:p>
      <w:pPr>
        <w:spacing w:before="200" w:after="80"/>
      </w:pPr>
      <w:r>
        <w:rPr>
          <w:rFonts w:ascii="Aptos" w:hAnsi="Aptos"/>
          <w:b/>
          <w:i w:val="0"/>
          <w:color w:val="183651"/>
          <w:sz w:val="26"/>
        </w:rPr>
        <w:t>Anchor note</w:t>
      </w:r>
    </w:p>
    <w:p>
      <w:pPr>
        <w:spacing w:after="140" w:line="283" w:lineRule="auto"/>
      </w:pPr>
      <w:r>
        <w:rPr>
          <w:rFonts w:ascii="Aptos" w:hAnsi="Aptos"/>
          <w:b w:val="0"/>
          <w:i w:val="0"/>
          <w:sz w:val="21"/>
        </w:rPr>
      </w:r>
      <w:r>
        <w:rPr>
          <w:rFonts w:ascii="Aptos" w:hAnsi="Aptos"/>
          <w:b/>
          <w:i w:val="0"/>
          <w:color w:val="183651"/>
          <w:sz w:val="21"/>
        </w:rPr>
        <w:t>Linden Archive Project</w:t>
      </w:r>
      <w:r>
        <w:rPr>
          <w:rFonts w:ascii="Aptos" w:hAnsi="Aptos"/>
          <w:b w:val="0"/>
          <w:i w:val="0"/>
          <w:sz w:val="21"/>
        </w:rPr>
        <w:t xml:space="preserve"> examines Box 14 on 2026-07-13; the reading of folio 184 is recorded as citation LA-042.</w:t>
      </w:r>
    </w:p>
    <w:sectPr w:rsidR="00FC693F" w:rsidRPr="0006063C" w:rsidSect="00034616">
      <w:headerReference w:type="default" r:id="rId9"/>
      <w:footerReference w:type="default" r:id="rId10"/>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6973"/>
        <w:sz w:val="16"/>
      </w:rPr>
      <w:t>Chapter 02  |  Synthetic research working paper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83651"/>
        <w:sz w:val="16"/>
      </w:rPr>
      <w:t>LINDEN ARCHIVE PROJECT  /  DISSERTATION CHAPTER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