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ptos" w:hAnsi="Aptos"/>
          <w:b/>
          <w:i w:val="0"/>
          <w:color w:val="183651"/>
          <w:sz w:val="42"/>
        </w:rPr>
        <w:t>Translation Method for an Unstable Address</w:t>
      </w:r>
    </w:p>
    <w:p>
      <w:pPr>
        <w:spacing w:after="320"/>
        <w:jc w:val="center"/>
      </w:pPr>
      <w:r>
        <w:rPr>
          <w:rFonts w:ascii="Aptos" w:hAnsi="Aptos"/>
          <w:b w:val="0"/>
          <w:i/>
          <w:color w:val="505A64"/>
          <w:sz w:val="21"/>
        </w:rPr>
        <w:t>Working principles for folio 184 and related excerpts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RESEARCH FRAME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VALUE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Archive unit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Box 14 / Linden Correspondence Series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Reference date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2026-07-13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Working citation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citation LA-042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/>
          <w:b/>
          <w:i w:val="0"/>
          <w:color w:val="183651"/>
          <w:sz w:val="26"/>
        </w:rPr>
        <w:t>Purpose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This wholly synthetic dossier concerns the imagined Haldenmere Civic Repository and its Linden Correspondence Series. It makes no claim about an external archive, person, or collection.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Translation here is presented as a sequence of accountable choices. The goal is not to modernize a voice but to make the relation among syntax, hesitation, and address available to an English-language reader.</w:t>
      </w:r>
    </w:p>
    <w:p>
      <w:pPr>
        <w:spacing w:before="200" w:after="80"/>
      </w:pPr>
      <w:r>
        <w:rPr>
          <w:rFonts w:ascii="Aptos" w:hAnsi="Aptos"/>
          <w:b/>
          <w:i w:val="0"/>
          <w:color w:val="183651"/>
          <w:sz w:val="26"/>
        </w:rPr>
        <w:t>Decision record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Where a phrase permits both a municipal and domestic sense, the translation preserves the ambiguity in the body text and records alternatives in a note. Punctuation is retained where it controls tempo; line division is marked only when it alters the argument.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Decision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Working choice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Reason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‘shade’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Retain botanical term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Keeps public/private double sense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Plural address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Use ‘you all’ in note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Avoids false formality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Broken clause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Preserve interruption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Shows argumentative hesitation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/>
          <w:b/>
          <w:i w:val="0"/>
          <w:color w:val="183651"/>
          <w:sz w:val="26"/>
        </w:rPr>
        <w:t>Ethical frame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All names, institutions, and passages in this chapter are synthetic. The method models transparent scholarly handling without presenting invented material as an external source.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F6973"/>
        <w:sz w:val="16"/>
      </w:rPr>
      <w:t>Chapter 02  |  Synthetic research working paper  | 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183651"/>
        <w:sz w:val="16"/>
      </w:rPr>
      <w:t>LINDEN ARCHIVE PROJECT  /  DISSERTATION CHAPTER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