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Aptos" w:hAnsi="Aptos"/>
          <w:b/>
          <w:color w:val="9C6B2F"/>
          <w:sz w:val="18"/>
        </w:rPr>
        <w:t>LITERATURE REVIEW</w:t>
      </w:r>
    </w:p>
    <w:p>
      <w:pPr>
        <w:spacing w:after="100"/>
        <w:jc w:val="center"/>
      </w:pPr>
      <w:r>
        <w:rPr>
          <w:rFonts w:ascii="Aptos Display" w:hAnsi="Aptos Display"/>
          <w:b/>
          <w:color w:val="153A5B"/>
          <w:sz w:val="40"/>
        </w:rPr>
        <w:t>Historiography working paper</w:t>
      </w:r>
    </w:p>
    <w:p>
      <w:pPr>
        <w:spacing w:after="280"/>
        <w:jc w:val="center"/>
      </w:pPr>
      <w:r>
        <w:rPr>
          <w:i/>
          <w:color w:val="495965"/>
          <w:sz w:val="22"/>
        </w:rPr>
        <w:t>Method, synthetic evidence, and responsible comparative reading</w:t>
      </w:r>
    </w:p>
    <w:tbl>
      <w:tblPr>
        <w:tblW w:type="auto" w:w="0"/>
        <w:jc w:val="center"/>
        <w:tblLayout w:type="fixed"/>
        <w:tblLook w:firstColumn="1" w:firstRow="1" w:lastColumn="0" w:lastRow="0" w:noHBand="0" w:noVBand="1" w:val="04A0"/>
      </w:tblPr>
      <w:tblGrid>
        <w:gridCol w:w="4896"/>
        <w:gridCol w:w="4896"/>
      </w:tblGrid>
      <w:tr>
        <w:tc>
          <w:tcPr>
            <w:tcW w:type="dxa" w:w="4752"/>
            <w:vAlign w:val="center"/>
            <w:shd w:fill="EDF2F5"/>
          </w:tcPr>
          <w:p>
            <w:r>
              <w:rPr>
                <w:b/>
                <w:color w:val="153A5B"/>
                <w:sz w:val="18"/>
              </w:rPr>
              <w:t>Project snapshot</w:t>
            </w:r>
          </w:p>
        </w:tc>
        <w:tc>
          <w:tcPr>
            <w:tcW w:type="dxa" w:w="4752"/>
            <w:vAlign w:val="center"/>
            <w:shd w:fill="FFFFFF"/>
          </w:tcPr>
          <w:p>
            <w:r>
              <w:rPr>
                <w:b w:val="0"/>
                <w:color w:val="24313D"/>
                <w:sz w:val="18"/>
              </w:rPr>
              <w:t>Linden Archive Project | 2026-07-13</w:t>
            </w:r>
          </w:p>
        </w:tc>
      </w:tr>
      <w:tr>
        <w:tc>
          <w:tcPr>
            <w:tcW w:type="dxa" w:w="4752"/>
            <w:vAlign w:val="center"/>
            <w:shd w:fill="EDF2F5"/>
          </w:tcPr>
          <w:p>
            <w:r>
              <w:rPr>
                <w:b/>
                <w:color w:val="153A5B"/>
                <w:sz w:val="18"/>
              </w:rPr>
              <w:t>Core record</w:t>
            </w:r>
          </w:p>
        </w:tc>
        <w:tc>
          <w:tcPr>
            <w:tcW w:type="dxa" w:w="4752"/>
            <w:vAlign w:val="center"/>
            <w:shd w:fill="FFFFFF"/>
          </w:tcPr>
          <w:p>
            <w:r>
              <w:rPr>
                <w:b w:val="0"/>
                <w:color w:val="24313D"/>
                <w:sz w:val="18"/>
              </w:rPr>
              <w:t>Box 14, folio 184 | citation LA-042</w:t>
            </w:r>
          </w:p>
        </w:tc>
      </w:tr>
    </w:tbl>
    <w:p/>
    <w:p>
      <w:pPr>
        <w:pStyle w:val="Heading1"/>
      </w:pPr>
      <w:r>
        <w:t>Historiographical problem</w:t>
      </w:r>
    </w:p>
    <w:p>
      <w:r>
        <w:t>This working paper asks how a fictional archive can model responsible humanities inference. The answer is not to simulate authority, but to mark the distinction between observed corpus fields and interpretive language.</w:t>
      </w:r>
    </w:p>
    <w:p>
      <w:r>
        <w:t>The Linden Archive Project therefore treats description, transcription, translation, and reception as linked but non-identical operations.</w:t>
      </w:r>
    </w:p>
    <w:p>
      <w:pPr>
        <w:pStyle w:val="Heading1"/>
      </w:pPr>
      <w:r>
        <w:t>Methodological position</w:t>
      </w:r>
    </w:p>
    <w:p>
      <w:r>
        <w:t>A material-philological reading follows cream laid paper, an oval HCR/LCS stamp, blue editorial pencil, and a small leaf watermark as narrative prompts. A reception history follows reuse across internal records without asserting public influence.</w:t>
      </w:r>
    </w:p>
    <w:p>
      <w:pPr>
        <w:pStyle w:val="Heading1"/>
      </w:pPr>
      <w:r>
        <w:t>Working conclusion</w:t>
      </w:r>
    </w:p>
    <w:p>
      <w:r>
        <w:t>The linden image stays mobile because the corpus repeatedly gives it a new editorial setting. The result is a study of relation, not a claim about a real tradition.</w:t>
      </w:r>
    </w:p>
    <w:p>
      <w:pPr>
        <w:pStyle w:val="Heading1"/>
      </w:pPr>
      <w:r>
        <w:t>Controlled vocabulary</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153A5B"/>
          </w:tcPr>
          <w:p>
            <w:r>
              <w:rPr>
                <w:b/>
                <w:color w:val="FFFFFF"/>
                <w:sz w:val="18"/>
              </w:rPr>
              <w:t>Term</w:t>
            </w:r>
          </w:p>
        </w:tc>
        <w:tc>
          <w:tcPr>
            <w:tcW w:type="dxa" w:w="2880"/>
            <w:shd w:fill="153A5B"/>
          </w:tcPr>
          <w:p>
            <w:r>
              <w:rPr>
                <w:b/>
                <w:color w:val="FFFFFF"/>
                <w:sz w:val="18"/>
              </w:rPr>
              <w:t>Internal record</w:t>
            </w:r>
          </w:p>
        </w:tc>
        <w:tc>
          <w:tcPr>
            <w:tcW w:type="dxa" w:w="4464"/>
            <w:shd w:fill="153A5B"/>
          </w:tcPr>
          <w:p>
            <w:r>
              <w:rPr>
                <w:b/>
                <w:color w:val="FFFFFF"/>
                <w:sz w:val="18"/>
              </w:rPr>
              <w:t>Analytical use</w:t>
            </w:r>
          </w:p>
        </w:tc>
      </w:tr>
      <w:tr>
        <w:tc>
          <w:tcPr>
            <w:tcW w:type="dxa" w:w="2160"/>
          </w:tcPr>
          <w:p>
            <w:r>
              <w:t>editorial meeting device</w:t>
            </w:r>
          </w:p>
        </w:tc>
        <w:tc>
          <w:tcPr>
            <w:tcW w:type="dxa" w:w="2880"/>
          </w:tcPr>
          <w:p>
            <w:r>
              <w:t>LA-017 to LA-063</w:t>
            </w:r>
          </w:p>
        </w:tc>
        <w:tc>
          <w:tcPr>
            <w:tcW w:type="dxa" w:w="4464"/>
          </w:tcPr>
          <w:p>
            <w:r>
              <w:t>Tracks relation without a national essence</w:t>
            </w:r>
          </w:p>
        </w:tc>
      </w:tr>
      <w:tr>
        <w:tc>
          <w:tcPr>
            <w:tcW w:type="dxa" w:w="2160"/>
          </w:tcPr>
          <w:p>
            <w:r>
              <w:t>material cue</w:t>
            </w:r>
          </w:p>
        </w:tc>
        <w:tc>
          <w:tcPr>
            <w:tcW w:type="dxa" w:w="2880"/>
          </w:tcPr>
          <w:p>
            <w:r>
              <w:t>cream paper / blue pencil</w:t>
            </w:r>
          </w:p>
        </w:tc>
        <w:tc>
          <w:tcPr>
            <w:tcW w:type="dxa" w:w="4464"/>
          </w:tcPr>
          <w:p>
            <w:r>
              <w:t>Connects form to reading</w:t>
            </w:r>
          </w:p>
        </w:tc>
      </w:tr>
      <w:tr>
        <w:tc>
          <w:tcPr>
            <w:tcW w:type="dxa" w:w="2160"/>
          </w:tcPr>
          <w:p>
            <w:r>
              <w:t>translation choice</w:t>
            </w:r>
          </w:p>
        </w:tc>
        <w:tc>
          <w:tcPr>
            <w:tcW w:type="dxa" w:w="2880"/>
          </w:tcPr>
          <w:p>
            <w:r>
              <w:t>tilleul / Linde / 菩提樹</w:t>
            </w:r>
          </w:p>
        </w:tc>
        <w:tc>
          <w:tcPr>
            <w:tcW w:type="dxa" w:w="4464"/>
          </w:tcPr>
          <w:p>
            <w:r>
              <w:t>Keeps difference explicit</w:t>
            </w:r>
          </w:p>
        </w:tc>
      </w:tr>
    </w:tbl>
    <w:p>
      <w:pPr>
        <w:pStyle w:val="Heading1"/>
      </w:pPr>
      <w:r>
        <w:t>Scope note</w:t>
      </w:r>
    </w:p>
    <w:p>
      <w:r>
        <w:t>All items discussed here are wholly synthetic working materials of the Linden Archive Project. The Haldenmere Civic Repository and Linden Correspondence Series are invented teaching corpus records, not claims about an existing archive. All named persons and all source descriptions in this document are fictional.</w:t>
      </w:r>
    </w:p>
    <w:sectPr w:rsidR="00FC693F" w:rsidRPr="0006063C" w:rsidSect="00034616">
      <w:headerReference w:type="default" r:id="rId9"/>
      <w:footerReference w:type="default" r:id="rId10"/>
      <w:pgSz w:w="12240" w:h="15840"/>
      <w:pgMar w:top="1181" w:right="1224" w:bottom="1037"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575"/>
        <w:sz w:val="16"/>
      </w:rPr>
      <w:t>Humanities research working corpus  •  2026-07-13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36575"/>
        <w:sz w:val="16"/>
      </w:rPr>
      <w:t>LINDEN ARCHIVE PROJECT  |  SYNTHETIC WORKING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53A5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53A5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