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rPr>
          <w:rFonts w:ascii="Aptos" w:hAnsi="Aptos"/>
          <w:b/>
          <w:color w:val="9C6B2F"/>
          <w:sz w:val="18"/>
        </w:rPr>
        <w:t>LITERATURE REVIEW</w:t>
      </w:r>
    </w:p>
    <w:p>
      <w:pPr>
        <w:spacing w:after="100"/>
        <w:jc w:val="center"/>
      </w:pPr>
      <w:r>
        <w:rPr>
          <w:rFonts w:ascii="Aptos Display" w:hAnsi="Aptos Display"/>
          <w:b/>
          <w:color w:val="153A5B"/>
          <w:sz w:val="40"/>
        </w:rPr>
        <w:t>Literature review chapter draft</w:t>
      </w:r>
    </w:p>
    <w:p>
      <w:pPr>
        <w:spacing w:after="280"/>
        <w:jc w:val="center"/>
      </w:pPr>
      <w:r>
        <w:rPr>
          <w:i/>
          <w:color w:val="495965"/>
          <w:sz w:val="22"/>
        </w:rPr>
        <w:t>Material cues, multilingual revision, and editorial relation</w:t>
      </w:r>
    </w:p>
    <w:tbl>
      <w:tblPr>
        <w:tblW w:type="auto" w:w="0"/>
        <w:jc w:val="center"/>
        <w:tblLayout w:type="fixed"/>
        <w:tblLook w:firstColumn="1" w:firstRow="1" w:lastColumn="0" w:lastRow="0" w:noHBand="0" w:noVBand="1" w:val="04A0"/>
      </w:tblPr>
      <w:tblGrid>
        <w:gridCol w:w="4896"/>
        <w:gridCol w:w="4896"/>
      </w:tblGrid>
      <w:tr>
        <w:tc>
          <w:tcPr>
            <w:tcW w:type="dxa" w:w="4752"/>
            <w:vAlign w:val="center"/>
            <w:shd w:fill="EDF2F5"/>
          </w:tcPr>
          <w:p>
            <w:r>
              <w:rPr>
                <w:b/>
                <w:color w:val="153A5B"/>
                <w:sz w:val="18"/>
              </w:rPr>
              <w:t>Project snapshot</w:t>
            </w:r>
          </w:p>
        </w:tc>
        <w:tc>
          <w:tcPr>
            <w:tcW w:type="dxa" w:w="4752"/>
            <w:vAlign w:val="center"/>
            <w:shd w:fill="FFFFFF"/>
          </w:tcPr>
          <w:p>
            <w:r>
              <w:rPr>
                <w:b w:val="0"/>
                <w:color w:val="24313D"/>
                <w:sz w:val="18"/>
              </w:rPr>
              <w:t>Linden Archive Project | 2026-07-13</w:t>
            </w:r>
          </w:p>
        </w:tc>
      </w:tr>
      <w:tr>
        <w:tc>
          <w:tcPr>
            <w:tcW w:type="dxa" w:w="4752"/>
            <w:vAlign w:val="center"/>
            <w:shd w:fill="EDF2F5"/>
          </w:tcPr>
          <w:p>
            <w:r>
              <w:rPr>
                <w:b/>
                <w:color w:val="153A5B"/>
                <w:sz w:val="18"/>
              </w:rPr>
              <w:t>Core record</w:t>
            </w:r>
          </w:p>
        </w:tc>
        <w:tc>
          <w:tcPr>
            <w:tcW w:type="dxa" w:w="4752"/>
            <w:vAlign w:val="center"/>
            <w:shd w:fill="FFFFFF"/>
          </w:tcPr>
          <w:p>
            <w:r>
              <w:rPr>
                <w:b w:val="0"/>
                <w:color w:val="24313D"/>
                <w:sz w:val="18"/>
              </w:rPr>
              <w:t>Box 14, folio 184 | citation LA-042</w:t>
            </w:r>
          </w:p>
        </w:tc>
      </w:tr>
    </w:tbl>
    <w:p/>
    <w:p>
      <w:pPr>
        <w:pStyle w:val="Heading1"/>
      </w:pPr>
      <w:r>
        <w:t>Argument in brief</w:t>
      </w:r>
    </w:p>
    <w:p>
      <w:r>
        <w:t>The literature-review chapter proposes that the recurring linden image in the synthetic Linden Correspondence Series is best read as an editorial meeting device. It gathers linguistic and material differences without declaring a single stable national meaning.</w:t>
      </w:r>
    </w:p>
    <w:p>
      <w:r>
        <w:t>The core comparison begins with LA-042, Box 14, folio 184, and extends backward to LA-017 and LA-028 and forward to LA-057 and LA-063.</w:t>
      </w:r>
    </w:p>
    <w:p>
      <w:pPr>
        <w:pStyle w:val="Heading1"/>
      </w:pPr>
      <w:r>
        <w:t>Evidence and restraint</w:t>
      </w:r>
    </w:p>
    <w:p>
      <w:r>
        <w:t>The method treats dates, folio order, paper description, and marks as controlled synthetic evidence. It reserves claims about intention, readership, and memory as provisional propositions.</w:t>
      </w:r>
    </w:p>
    <w:p>
      <w:r>
        <w:t>Where a transcript is uncertain, the project keeps [word?], [illegible: n words], and [supplied: text] visible.</w:t>
      </w:r>
    </w:p>
    <w:p>
      <w:pPr>
        <w:pStyle w:val="Heading1"/>
      </w:pPr>
      <w:r>
        <w:t>Comparative chapter path</w:t>
      </w:r>
    </w:p>
    <w:p>
      <w:r>
        <w:t>Chapter sections move from lecture notes to print proofs, correspondence, circulation, and memorial reception. This sequence makes revision and reuse legible without pretending to reconstruct an actual historical network.</w:t>
      </w:r>
    </w:p>
    <w:p>
      <w:pPr>
        <w:pStyle w:val="Heading1"/>
      </w:pPr>
      <w:r>
        <w:t>Controlled vocabulary</w:t>
      </w:r>
    </w:p>
    <w:tbl>
      <w:tblPr>
        <w:tblW w:type="auto" w:w="0"/>
        <w:jc w:val="center"/>
        <w:tblLayout w:type="fixed"/>
        <w:tblLook w:firstColumn="1" w:firstRow="1" w:lastColumn="0" w:lastRow="0" w:noHBand="0" w:noVBand="1" w:val="04A0"/>
      </w:tblPr>
      <w:tblGrid>
        <w:gridCol w:w="3264"/>
        <w:gridCol w:w="3264"/>
        <w:gridCol w:w="3264"/>
      </w:tblGrid>
      <w:tr>
        <w:tc>
          <w:tcPr>
            <w:tcW w:type="dxa" w:w="2160"/>
            <w:shd w:fill="153A5B"/>
          </w:tcPr>
          <w:p>
            <w:r>
              <w:rPr>
                <w:b/>
                <w:color w:val="FFFFFF"/>
                <w:sz w:val="18"/>
              </w:rPr>
              <w:t>Term</w:t>
            </w:r>
          </w:p>
        </w:tc>
        <w:tc>
          <w:tcPr>
            <w:tcW w:type="dxa" w:w="2880"/>
            <w:shd w:fill="153A5B"/>
          </w:tcPr>
          <w:p>
            <w:r>
              <w:rPr>
                <w:b/>
                <w:color w:val="FFFFFF"/>
                <w:sz w:val="18"/>
              </w:rPr>
              <w:t>Internal record</w:t>
            </w:r>
          </w:p>
        </w:tc>
        <w:tc>
          <w:tcPr>
            <w:tcW w:type="dxa" w:w="4464"/>
            <w:shd w:fill="153A5B"/>
          </w:tcPr>
          <w:p>
            <w:r>
              <w:rPr>
                <w:b/>
                <w:color w:val="FFFFFF"/>
                <w:sz w:val="18"/>
              </w:rPr>
              <w:t>Analytical use</w:t>
            </w:r>
          </w:p>
        </w:tc>
      </w:tr>
      <w:tr>
        <w:tc>
          <w:tcPr>
            <w:tcW w:type="dxa" w:w="2160"/>
          </w:tcPr>
          <w:p>
            <w:r>
              <w:t>editorial meeting device</w:t>
            </w:r>
          </w:p>
        </w:tc>
        <w:tc>
          <w:tcPr>
            <w:tcW w:type="dxa" w:w="2880"/>
          </w:tcPr>
          <w:p>
            <w:r>
              <w:t>LA-017 to LA-063</w:t>
            </w:r>
          </w:p>
        </w:tc>
        <w:tc>
          <w:tcPr>
            <w:tcW w:type="dxa" w:w="4464"/>
          </w:tcPr>
          <w:p>
            <w:r>
              <w:t>Tracks relation without a national essence</w:t>
            </w:r>
          </w:p>
        </w:tc>
      </w:tr>
      <w:tr>
        <w:tc>
          <w:tcPr>
            <w:tcW w:type="dxa" w:w="2160"/>
          </w:tcPr>
          <w:p>
            <w:r>
              <w:t>material cue</w:t>
            </w:r>
          </w:p>
        </w:tc>
        <w:tc>
          <w:tcPr>
            <w:tcW w:type="dxa" w:w="2880"/>
          </w:tcPr>
          <w:p>
            <w:r>
              <w:t>cream paper / blue pencil</w:t>
            </w:r>
          </w:p>
        </w:tc>
        <w:tc>
          <w:tcPr>
            <w:tcW w:type="dxa" w:w="4464"/>
          </w:tcPr>
          <w:p>
            <w:r>
              <w:t>Connects form to reading</w:t>
            </w:r>
          </w:p>
        </w:tc>
      </w:tr>
      <w:tr>
        <w:tc>
          <w:tcPr>
            <w:tcW w:type="dxa" w:w="2160"/>
          </w:tcPr>
          <w:p>
            <w:r>
              <w:t>translation choice</w:t>
            </w:r>
          </w:p>
        </w:tc>
        <w:tc>
          <w:tcPr>
            <w:tcW w:type="dxa" w:w="2880"/>
          </w:tcPr>
          <w:p>
            <w:r>
              <w:t>tilleul / Linde / 菩提樹</w:t>
            </w:r>
          </w:p>
        </w:tc>
        <w:tc>
          <w:tcPr>
            <w:tcW w:type="dxa" w:w="4464"/>
          </w:tcPr>
          <w:p>
            <w:r>
              <w:t>Keeps difference explicit</w:t>
            </w:r>
          </w:p>
        </w:tc>
      </w:tr>
    </w:tbl>
    <w:p>
      <w:pPr>
        <w:pStyle w:val="Heading1"/>
      </w:pPr>
      <w:r>
        <w:t>Scope note</w:t>
      </w:r>
    </w:p>
    <w:p>
      <w:r>
        <w:t>All items discussed here are wholly synthetic working materials of the Linden Archive Project. The Haldenmere Civic Repository and Linden Correspondence Series are invented teaching corpus records, not claims about an existing archive. All named persons and all source descriptions in this document are fictional.</w:t>
      </w:r>
    </w:p>
    <w:sectPr w:rsidR="00FC693F" w:rsidRPr="0006063C" w:rsidSect="00034616">
      <w:headerReference w:type="default" r:id="rId9"/>
      <w:footerReference w:type="default" r:id="rId10"/>
      <w:pgSz w:w="12240" w:h="15840"/>
      <w:pgMar w:top="1181" w:right="1224" w:bottom="1037" w:left="122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575"/>
        <w:sz w:val="16"/>
      </w:rPr>
      <w:t>Humanities research working corpus  •  2026-07-13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36575"/>
        <w:sz w:val="16"/>
      </w:rPr>
      <w:t>LINDEN ARCHIVE PROJECT  |  SYNTHETIC WORKING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53A5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53A5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