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394C"/>
          <w:sz w:val="32"/>
        </w:rPr>
        <w:t>Box 14 Interpretive Memo</w:t>
      </w:r>
    </w:p>
    <w:p>
      <w:pPr>
        <w:jc w:val="center"/>
      </w:pPr>
      <w:r>
        <w:rPr>
          <w:i/>
          <w:color w:val="78572F"/>
          <w:sz w:val="20"/>
        </w:rPr>
        <w:t>A concise synthetic memo for the Linden Archive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A6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Focal item</w:t>
            </w:r>
          </w:p>
        </w:tc>
        <w:tc>
          <w:tcPr>
            <w:tcW w:type="dxa" w:w="3389"/>
            <w:vAlign w:val="center"/>
            <w:shd w:fill="294A6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Analytic lens</w:t>
            </w:r>
          </w:p>
        </w:tc>
        <w:tc>
          <w:tcPr>
            <w:tcW w:type="dxa" w:w="3389"/>
            <w:vAlign w:val="center"/>
            <w:shd w:fill="294A6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Box 14, folio 184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motif / revision / uncertainty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synthetic working copy</w:t>
            </w:r>
          </w:p>
        </w:tc>
      </w:tr>
    </w:tbl>
    <w:p/>
    <w:p>
      <w:r>
        <w:rPr>
          <w:b/>
          <w:color w:val="78572F"/>
          <w:sz w:val="24"/>
        </w:rPr>
        <w:t>QUESTION</w:t>
      </w:r>
    </w:p>
    <w:p>
      <w:r>
        <w:t>How does folio 184 make an ordinary tree image carry civic meaning without collapsing linguistic difference?</w:t>
      </w:r>
    </w:p>
    <w:p>
      <w:r>
        <w:rPr>
          <w:b/>
          <w:color w:val="78572F"/>
          <w:sz w:val="24"/>
        </w:rPr>
        <w:t>READING</w:t>
      </w:r>
    </w:p>
    <w:p>
      <w:r>
        <w:t>The phrase “The linden's shade keeps the town's many tongues in one patient circle.” lets shade function as a temporary commons. The wording is treated as a crafted fictional sentence, not a recovered historical assertion.</w:t>
      </w:r>
    </w:p>
    <w:p>
      <w:r>
        <w:rPr>
          <w:b/>
          <w:color w:val="78572F"/>
          <w:sz w:val="24"/>
        </w:rPr>
        <w:t>EVIDENCE BOUNDARY</w:t>
      </w:r>
    </w:p>
    <w:p>
      <w:r>
        <w:t>The working packet contains only synthetic folios and internal citations. No person, institution, locality, or correspondence beyond this exercise is asserted.</w:t>
      </w:r>
    </w:p>
    <w:p>
      <w:r>
        <w:rPr>
          <w:b/>
          <w:color w:val="78572F"/>
          <w:sz w:val="24"/>
        </w:rPr>
        <w:t>RECOMMENDATION</w:t>
      </w:r>
    </w:p>
    <w:p>
      <w:r>
        <w:t>Keep the motif thread, chronology discrepancy note, and codebook adjacent in the review interface. Flag all claims as provisional when they rely on layout.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Synthetic research dossier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A4154"/>
      </w:rPr>
      <w:t>LINDEN ARCHIVE PROJECT  /  SOURCE ANNOTATIONS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 14 Interpretive Memo</dc:title>
  <dc:subject/>
  <dc:creator>Linden Archive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