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00"/>
        <w:jc w:val="center"/>
      </w:pPr>
      <w:r>
        <w:rPr>
          <w:rFonts w:ascii="Calibri" w:hAnsi="Calibri"/>
          <w:b/>
          <w:color w:val="233B53"/>
          <w:sz w:val="48"/>
        </w:rPr>
        <w:t>OCR EDITORIAL REVIEW</w:t>
      </w:r>
    </w:p>
    <w:p>
      <w:pPr>
        <w:spacing w:after="400"/>
        <w:jc w:val="center"/>
      </w:pPr>
      <w:r>
        <w:rPr>
          <w:rFonts w:ascii="Calibri" w:hAnsi="Calibri"/>
          <w:b w:val="0"/>
          <w:color w:val="667788"/>
          <w:sz w:val="24"/>
        </w:rPr>
        <w:t>Box 14, folio 184 | Linden Correspondence Series</w:t>
      </w:r>
    </w:p>
    <w:p>
      <w:pPr>
        <w:pStyle w:val="Heading1"/>
      </w:pPr>
      <w:r>
        <w:t>Review mandate</w:t>
      </w:r>
    </w:p>
    <w:p>
      <w:r>
        <w:t>This compact reference guide records editorial treatment of the wholly synthetic source LA-SRC-B14-F184. It preserves uncertainty markers rather than silently regularizing the reading.</w:t>
      </w:r>
    </w:p>
    <w:p>
      <w:pPr>
        <w:pStyle w:val="Heading2"/>
      </w:pPr>
      <w:r>
        <w:t>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2E5C78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color w:val="2E5C78"/>
              </w:rPr>
              <w:t>Recorded value</w:t>
            </w:r>
          </w:p>
        </w:tc>
      </w:tr>
      <w:tr>
        <w:tc>
          <w:tcPr>
            <w:tcW w:type="dxa" w:w="4680"/>
          </w:tcPr>
          <w:p>
            <w:r>
              <w:t>Project</w:t>
            </w:r>
          </w:p>
        </w:tc>
        <w:tc>
          <w:tcPr>
            <w:tcW w:type="dxa" w:w="4680"/>
          </w:tcPr>
          <w:p>
            <w:r>
              <w:t>Linden Archive Project</w:t>
            </w:r>
          </w:p>
        </w:tc>
      </w:tr>
      <w:tr>
        <w:tc>
          <w:tcPr>
            <w:tcW w:type="dxa" w:w="4680"/>
          </w:tcPr>
          <w:p>
            <w:r>
              <w:t>Snapshot</w:t>
            </w:r>
          </w:p>
        </w:tc>
        <w:tc>
          <w:tcPr>
            <w:tcW w:type="dxa" w:w="4680"/>
          </w:tcPr>
          <w:p>
            <w:r>
              <w:t>2026-07-13</w:t>
            </w:r>
          </w:p>
        </w:tc>
      </w:tr>
      <w:tr>
        <w:tc>
          <w:tcPr>
            <w:tcW w:type="dxa" w:w="4680"/>
          </w:tcPr>
          <w:p>
            <w:r>
              <w:t>Location</w:t>
            </w:r>
          </w:p>
        </w:tc>
        <w:tc>
          <w:tcPr>
            <w:tcW w:type="dxa" w:w="4680"/>
          </w:tcPr>
          <w:p>
            <w:r>
              <w:t>Box 14 / folio 184</w:t>
            </w:r>
          </w:p>
        </w:tc>
      </w:tr>
      <w:tr>
        <w:tc>
          <w:tcPr>
            <w:tcW w:type="dxa" w:w="4680"/>
          </w:tcPr>
          <w:p>
            <w:r>
              <w:t>Citation</w:t>
            </w:r>
          </w:p>
        </w:tc>
        <w:tc>
          <w:tcPr>
            <w:tcW w:type="dxa" w:w="4680"/>
          </w:tcPr>
          <w:p>
            <w:r>
              <w:t>citation LA-042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Provisional synthetic OCR review</w:t>
            </w:r>
          </w:p>
        </w:tc>
      </w:tr>
    </w:tbl>
    <w:p>
      <w:pPr>
        <w:pStyle w:val="Heading1"/>
      </w:pPr>
      <w:r>
        <w:t>Findings</w:t>
      </w:r>
    </w:p>
    <w:p>
      <w:pPr>
        <w:pStyle w:val="ListBullet"/>
      </w:pPr>
      <w:r>
        <w:t>Line 03 retains `[word?]` where the paper ridge narrows strokes.</w:t>
      </w:r>
    </w:p>
    <w:p>
      <w:pPr>
        <w:pStyle w:val="ListBullet"/>
      </w:pPr>
      <w:r>
        <w:t>Line 06 records `&lt;del&gt;national emblem&lt;/del&gt;` and an editorial supply without converting either into authorial certainty.</w:t>
      </w:r>
    </w:p>
    <w:p>
      <w:pPr>
        <w:pStyle w:val="ListBullet"/>
      </w:pPr>
      <w:r>
        <w:t>Line 07 keeps `[illegible: 2 words]`; the parallel view exposes the decision path.</w:t>
      </w:r>
    </w:p>
    <w:p>
      <w:pPr>
        <w:pStyle w:val="Heading1"/>
      </w:pPr>
      <w:r>
        <w:t>Editorial disposition</w:t>
      </w:r>
    </w:p>
    <w:p>
      <w:r>
        <w:t>The folio supports comparison of material marks, language shifts, and circulation notes. It does not establish a real provenance or authorial fact. The working phrase is read as a meeting device rather than a stable national symbol.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7798A"/>
        <w:sz w:val="16"/>
      </w:rPr>
      <w:t>Haldenmere Civic Repository | synthetic research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 w:val="0"/>
        <w:color w:val="67798A"/>
        <w:sz w:val="16"/>
      </w:rPr>
      <w:t>LINDEN CORRESPONDENCE SERIES  |  OCR EDITORIAL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