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</w:pPr>
      <w:r>
        <w:rPr>
          <w:rFonts w:ascii="Aptos" w:hAnsi="Aptos"/>
          <w:b/>
          <w:i w:val="0"/>
          <w:color w:val="315C61"/>
          <w:sz w:val="20"/>
        </w:rPr>
        <w:t>SOURCE EDITION</w:t>
      </w:r>
    </w:p>
    <w:p>
      <w:pPr>
        <w:spacing w:after="100"/>
      </w:pPr>
      <w:r>
        <w:rPr>
          <w:rFonts w:ascii="Aptos" w:hAnsi="Aptos"/>
          <w:b/>
          <w:i w:val="0"/>
          <w:color w:val="1E3034"/>
          <w:sz w:val="44"/>
        </w:rPr>
        <w:t>Diplomatic transcription: folio 184</w:t>
      </w:r>
    </w:p>
    <w:p>
      <w:pPr>
        <w:spacing w:after="360"/>
      </w:pPr>
      <w:r>
        <w:rPr>
          <w:rFonts w:ascii="Aptos" w:hAnsi="Aptos"/>
          <w:b w:val="0"/>
          <w:i/>
          <w:color w:val="505050"/>
          <w:sz w:val="20"/>
        </w:rPr>
        <w:t>LA-SRC-B14-F184; four-page letter, 1907-03-16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rPr>
                <w:rFonts w:ascii="Aptos" w:hAnsi="Aptos"/>
                <w:b/>
                <w:i w:val="0"/>
                <w:color w:val="315C61"/>
                <w:sz w:val="16"/>
              </w:rPr>
              <w:t xml:space="preserve">Project: </w:t>
            </w:r>
            <w:r>
              <w:rPr>
                <w:rFonts w:ascii="Aptos" w:hAnsi="Aptos"/>
                <w:b w:val="0"/>
                <w:i w:val="0"/>
                <w:sz w:val="16"/>
              </w:rPr>
              <w:t>Linden Archive Project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b/>
                <w:i w:val="0"/>
                <w:color w:val="315C61"/>
                <w:sz w:val="16"/>
              </w:rPr>
              <w:t xml:space="preserve">Reference: </w:t>
            </w:r>
            <w:r>
              <w:rPr>
                <w:rFonts w:ascii="Aptos" w:hAnsi="Aptos"/>
                <w:b w:val="0"/>
                <w:i w:val="0"/>
                <w:sz w:val="16"/>
              </w:rPr>
              <w:t>Box 14 / folio 184 / citation LA-042</w:t>
            </w:r>
          </w:p>
        </w:tc>
      </w:tr>
      <w:tr>
        <w:tc>
          <w:tcPr>
            <w:tcW w:type="dxa" w:w="4939"/>
          </w:tcPr>
          <w:p>
            <w:r>
              <w:rPr>
                <w:rFonts w:ascii="Aptos" w:hAnsi="Aptos"/>
                <w:b/>
                <w:i w:val="0"/>
                <w:color w:val="315C61"/>
                <w:sz w:val="16"/>
              </w:rPr>
              <w:t xml:space="preserve">Snapshot: </w:t>
            </w:r>
            <w:r>
              <w:rPr>
                <w:rFonts w:ascii="Aptos" w:hAnsi="Aptos"/>
                <w:b w:val="0"/>
                <w:i w:val="0"/>
                <w:sz w:val="16"/>
              </w:rPr>
              <w:t>2026-07-13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b/>
                <w:i w:val="0"/>
                <w:color w:val="315C61"/>
                <w:sz w:val="16"/>
              </w:rPr>
              <w:t xml:space="preserve">Status: </w:t>
            </w:r>
            <w:r>
              <w:rPr>
                <w:rFonts w:ascii="Aptos" w:hAnsi="Aptos"/>
                <w:b w:val="0"/>
                <w:i w:val="0"/>
                <w:sz w:val="16"/>
              </w:rPr>
              <w:t>Wholly synthetic scholarly working copy</w:t>
            </w:r>
          </w:p>
        </w:tc>
      </w:tr>
    </w:tbl>
    <w:p>
      <w:pPr>
        <w:spacing w:before="280" w:after="100"/>
      </w:pPr>
      <w:r>
        <w:rPr>
          <w:rFonts w:ascii="Aptos" w:hAnsi="Aptos"/>
          <w:b/>
          <w:i w:val="0"/>
          <w:color w:val="315C61"/>
          <w:sz w:val="26"/>
        </w:rPr>
        <w:t>Transcription</w:t>
      </w:r>
    </w:p>
    <w:p>
      <w:pPr>
        <w:spacing w:after="140"/>
      </w:pPr>
      <w:r>
        <w:rPr>
          <w:rFonts w:ascii="Aptos" w:hAnsi="Aptos"/>
          <w:b w:val="0"/>
          <w:i w:val="0"/>
          <w:sz w:val="21"/>
        </w:rPr>
        <w:t>P01. The linden's shade keeps the town's many tongues in one patient circle. P02. I ask that the phrase remain beside tilleul, Linde, and 菩提樹 in the working table. P03. &lt;del&gt;nation&lt;/del&gt; [supplied: civic] meeting remains the reading.</w:t>
      </w:r>
    </w:p>
    <w:p>
      <w:pPr>
        <w:spacing w:before="280" w:after="100"/>
      </w:pPr>
      <w:r>
        <w:rPr>
          <w:rFonts w:ascii="Aptos" w:hAnsi="Aptos"/>
          <w:b/>
          <w:i w:val="0"/>
          <w:color w:val="315C61"/>
          <w:sz w:val="26"/>
        </w:rPr>
        <w:t>Editorial notation</w:t>
      </w:r>
    </w:p>
    <w:p>
      <w:pPr>
        <w:spacing w:after="140"/>
      </w:pPr>
      <w:r>
        <w:rPr>
          <w:rFonts w:ascii="Aptos" w:hAnsi="Aptos"/>
          <w:b w:val="0"/>
          <w:i w:val="0"/>
          <w:sz w:val="21"/>
        </w:rPr>
        <w:t>[illegible: 2 words] denotes an unreadable span; [word?] denotes uncertainty; [supplied: text] identifies editorial supply; deletions are retained with angle tags.</w:t>
      </w:r>
    </w:p>
    <w:p>
      <w:pPr>
        <w:spacing w:before="280" w:after="100"/>
      </w:pPr>
      <w:r>
        <w:rPr>
          <w:rFonts w:ascii="Aptos" w:hAnsi="Aptos"/>
          <w:b/>
          <w:i w:val="0"/>
          <w:color w:val="315C61"/>
          <w:sz w:val="26"/>
        </w:rPr>
        <w:t>Material note</w:t>
      </w:r>
    </w:p>
    <w:p>
      <w:pPr>
        <w:spacing w:after="140"/>
      </w:pPr>
      <w:r>
        <w:rPr>
          <w:rFonts w:ascii="Aptos" w:hAnsi="Aptos"/>
          <w:b w:val="0"/>
          <w:i w:val="0"/>
          <w:sz w:val="21"/>
        </w:rPr>
        <w:t>Cream laid paper, brown synthetic handwriting, blue editorial pencil, oval HCR/LCS accession stamp, and a small leaf watermark are represented as synthetic descriptive features.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45454"/>
        <w:sz w:val="16"/>
      </w:rPr>
      <w:t>Haldenmere Civic Repository - synthetic research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45454"/>
        <w:sz w:val="16"/>
      </w:rPr>
      <w:t>LINDEN ARCHIVE PROJECT  |  PRIMARY SOURCES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