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60"/>
      </w:pPr>
      <w:r>
        <w:rPr>
          <w:rFonts w:ascii="Aptos" w:hAnsi="Aptos"/>
          <w:b/>
          <w:i w:val="0"/>
          <w:color w:val="315C61"/>
          <w:sz w:val="20"/>
        </w:rPr>
        <w:t>SOURCE EDITION</w:t>
      </w:r>
    </w:p>
    <w:p>
      <w:pPr>
        <w:spacing w:after="100"/>
      </w:pPr>
      <w:r>
        <w:rPr>
          <w:rFonts w:ascii="Aptos" w:hAnsi="Aptos"/>
          <w:b/>
          <w:i w:val="0"/>
          <w:color w:val="1E3034"/>
          <w:sz w:val="44"/>
        </w:rPr>
        <w:t>Linden Correspondence Series: source description</w:t>
      </w:r>
    </w:p>
    <w:p>
      <w:pPr>
        <w:spacing w:after="360"/>
      </w:pPr>
      <w:r>
        <w:rPr>
          <w:rFonts w:ascii="Aptos" w:hAnsi="Aptos"/>
          <w:b w:val="0"/>
          <w:i/>
          <w:color w:val="505050"/>
          <w:sz w:val="20"/>
        </w:rPr>
        <w:t>Descriptive control record for the synthetic series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</w:tcPr>
          <w:p>
            <w:r>
              <w:rPr>
                <w:rFonts w:ascii="Aptos" w:hAnsi="Aptos"/>
                <w:b/>
                <w:i w:val="0"/>
                <w:color w:val="315C61"/>
                <w:sz w:val="16"/>
              </w:rPr>
              <w:t xml:space="preserve">Project: </w:t>
            </w:r>
            <w:r>
              <w:rPr>
                <w:rFonts w:ascii="Aptos" w:hAnsi="Aptos"/>
                <w:b w:val="0"/>
                <w:i w:val="0"/>
                <w:sz w:val="16"/>
              </w:rPr>
              <w:t>Linden Archive Project</w:t>
            </w:r>
          </w:p>
        </w:tc>
        <w:tc>
          <w:tcPr>
            <w:tcW w:type="dxa" w:w="4939"/>
          </w:tcPr>
          <w:p>
            <w:r>
              <w:rPr>
                <w:rFonts w:ascii="Aptos" w:hAnsi="Aptos"/>
                <w:b/>
                <w:i w:val="0"/>
                <w:color w:val="315C61"/>
                <w:sz w:val="16"/>
              </w:rPr>
              <w:t xml:space="preserve">Reference: </w:t>
            </w:r>
            <w:r>
              <w:rPr>
                <w:rFonts w:ascii="Aptos" w:hAnsi="Aptos"/>
                <w:b w:val="0"/>
                <w:i w:val="0"/>
                <w:sz w:val="16"/>
              </w:rPr>
              <w:t>Box 14 / folio 184 / citation LA-042</w:t>
            </w:r>
          </w:p>
        </w:tc>
      </w:tr>
      <w:tr>
        <w:tc>
          <w:tcPr>
            <w:tcW w:type="dxa" w:w="4939"/>
          </w:tcPr>
          <w:p>
            <w:r>
              <w:rPr>
                <w:rFonts w:ascii="Aptos" w:hAnsi="Aptos"/>
                <w:b/>
                <w:i w:val="0"/>
                <w:color w:val="315C61"/>
                <w:sz w:val="16"/>
              </w:rPr>
              <w:t xml:space="preserve">Snapshot: </w:t>
            </w:r>
            <w:r>
              <w:rPr>
                <w:rFonts w:ascii="Aptos" w:hAnsi="Aptos"/>
                <w:b w:val="0"/>
                <w:i w:val="0"/>
                <w:sz w:val="16"/>
              </w:rPr>
              <w:t>2026-07-13</w:t>
            </w:r>
          </w:p>
        </w:tc>
        <w:tc>
          <w:tcPr>
            <w:tcW w:type="dxa" w:w="4939"/>
          </w:tcPr>
          <w:p>
            <w:r>
              <w:rPr>
                <w:rFonts w:ascii="Aptos" w:hAnsi="Aptos"/>
                <w:b/>
                <w:i w:val="0"/>
                <w:color w:val="315C61"/>
                <w:sz w:val="16"/>
              </w:rPr>
              <w:t xml:space="preserve">Status: </w:t>
            </w:r>
            <w:r>
              <w:rPr>
                <w:rFonts w:ascii="Aptos" w:hAnsi="Aptos"/>
                <w:b w:val="0"/>
                <w:i w:val="0"/>
                <w:sz w:val="16"/>
              </w:rPr>
              <w:t>Wholly synthetic scholarly working copy</w:t>
            </w:r>
          </w:p>
        </w:tc>
      </w:tr>
    </w:tbl>
    <w:p>
      <w:pPr>
        <w:spacing w:before="280" w:after="100"/>
      </w:pPr>
      <w:r>
        <w:rPr>
          <w:rFonts w:ascii="Aptos" w:hAnsi="Aptos"/>
          <w:b/>
          <w:i w:val="0"/>
          <w:color w:val="315C61"/>
          <w:sz w:val="26"/>
        </w:rPr>
        <w:t>Series description</w:t>
      </w:r>
    </w:p>
    <w:p>
      <w:pPr>
        <w:spacing w:after="140"/>
      </w:pPr>
      <w:r>
        <w:rPr>
          <w:rFonts w:ascii="Aptos" w:hAnsi="Aptos"/>
          <w:b w:val="0"/>
          <w:i w:val="0"/>
          <w:sz w:val="21"/>
        </w:rPr>
        <w:t>The series assembles fictional correspondence among Elinor Vale, Lucien Moreau, Marta Weiss, and Aiko Mori. It is designed for research practice, not as a historical archive.</w:t>
      </w:r>
    </w:p>
    <w:p>
      <w:pPr>
        <w:spacing w:before="280" w:after="100"/>
      </w:pPr>
      <w:r>
        <w:rPr>
          <w:rFonts w:ascii="Aptos" w:hAnsi="Aptos"/>
          <w:b/>
          <w:i w:val="0"/>
          <w:color w:val="315C61"/>
          <w:sz w:val="26"/>
        </w:rPr>
        <w:t>Box 14 sequence</w:t>
      </w:r>
    </w:p>
    <w:p>
      <w:pPr>
        <w:spacing w:after="140"/>
      </w:pPr>
      <w:r>
        <w:rPr>
          <w:rFonts w:ascii="Aptos" w:hAnsi="Aptos"/>
          <w:b w:val="0"/>
          <w:i w:val="0"/>
          <w:sz w:val="21"/>
        </w:rPr>
        <w:t>F181 Vale draft; F183 Moreau enclosure; F184 Vale letter; F186 Weiss note; F188 Vale revision; F191 Moreau proof; F193 Mori gloss; F196 Vale response.</w:t>
      </w:r>
    </w:p>
    <w:p>
      <w:pPr>
        <w:spacing w:before="280" w:after="100"/>
      </w:pPr>
      <w:r>
        <w:rPr>
          <w:rFonts w:ascii="Aptos" w:hAnsi="Aptos"/>
          <w:b/>
          <w:i w:val="0"/>
          <w:color w:val="315C61"/>
          <w:sz w:val="26"/>
        </w:rPr>
        <w:t>Access and citation</w:t>
      </w:r>
    </w:p>
    <w:p>
      <w:pPr>
        <w:spacing w:after="140"/>
      </w:pPr>
      <w:r>
        <w:rPr>
          <w:rFonts w:ascii="Aptos" w:hAnsi="Aptos"/>
          <w:b w:val="0"/>
          <w:i w:val="0"/>
          <w:sz w:val="21"/>
        </w:rPr>
        <w:t>Use LA-SRC-B14-F184, Box 14, folio 184, citation LA-042 for the focal witness. Project snapshot: 2026-07-13.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45454"/>
        <w:sz w:val="16"/>
      </w:rPr>
      <w:t>Haldenmere Civic Repository - synthetic research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i w:val="0"/>
        <w:color w:val="545454"/>
        <w:sz w:val="16"/>
      </w:rPr>
      <w:t>LINDEN ARCHIVE PROJECT  |  PRIMARY SOURCES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