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 w:eastAsia="Hiragino Sans"/>
          <w:b/>
          <w:color w:val="2E74B5"/>
          <w:sz w:val="18"/>
        </w:rPr>
        <w:t>GLOSS DOSSIER</w:t>
      </w:r>
    </w:p>
    <w:p>
      <w:pPr>
        <w:spacing w:after="80"/>
      </w:pPr>
      <w:r>
        <w:rPr>
          <w:rFonts w:ascii="Aptos Display" w:hAnsi="Aptos Display" w:eastAsia="Hiragino Sans"/>
          <w:b/>
          <w:color w:val="17365D"/>
          <w:sz w:val="46"/>
        </w:rPr>
        <w:t>German–Japanese marginal vocabulary</w:t>
      </w:r>
    </w:p>
    <w:p>
      <w:pPr>
        <w:spacing w:after="260"/>
      </w:pPr>
      <w:r>
        <w:rPr>
          <w:rFonts w:ascii="Aptos" w:hAnsi="Aptos" w:eastAsia="Hiragino Sans"/>
          <w:b w:val="0"/>
          <w:i/>
          <w:color w:val="52606D"/>
          <w:sz w:val="21"/>
        </w:rPr>
        <w:t>A synthetic comparative dossier for translator review, with visible uncertainty.</w:t>
      </w:r>
    </w:p>
    <w:p>
      <w:pPr>
        <w:pStyle w:val="Heading1"/>
        <w:keepLines/>
      </w:pPr>
      <w:r>
        <w:rPr>
          <w:rFonts w:ascii="Aptos" w:hAnsi="Aptos" w:eastAsia="Hiragino Sans"/>
          <w:sz w:val="22"/>
        </w:rPr>
        <w:t>Editorial frame</w:t>
      </w:r>
    </w:p>
    <w:p>
      <w:pPr>
        <w:keepLines/>
      </w:pPr>
      <w:r>
        <w:rPr>
          <w:rFonts w:ascii="Aptos" w:hAnsi="Aptos" w:eastAsia="Hiragino Sans"/>
          <w:sz w:val="22"/>
        </w:rPr>
        <w:t>Prepared within the Linden Archive Project for Box 14 review on 2026-07-13. The invented comparison centres on folio 184 and citation LA-042. Nothing here is an authentic archive transcription, translation, or biographical record.</w:t>
      </w:r>
    </w:p>
    <w:p>
      <w:pPr>
        <w:pStyle w:val="Heading1"/>
        <w:keepLines/>
      </w:pPr>
      <w:r>
        <w:rPr>
          <w:rFonts w:ascii="Aptos" w:hAnsi="Aptos" w:eastAsia="Hiragino Sans"/>
          <w:sz w:val="22"/>
        </w:rPr>
        <w:t>Term concordance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Hiragino Sans"/>
                <w:b/>
                <w:color w:val="17365D"/>
                <w:sz w:val="18"/>
              </w:rPr>
              <w:t>German cue</w:t>
            </w:r>
          </w:p>
        </w:tc>
        <w:tc>
          <w:tcPr>
            <w:tcW w:type="dxa" w:w="223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Hiragino Sans"/>
                <w:b/>
                <w:color w:val="17365D"/>
                <w:sz w:val="18"/>
              </w:rPr>
              <w:t>Japanese working gloss</w:t>
            </w:r>
          </w:p>
        </w:tc>
        <w:tc>
          <w:tcPr>
            <w:tcW w:type="dxa" w:w="223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Hiragino Sans"/>
                <w:b/>
                <w:color w:val="17365D"/>
                <w:sz w:val="18"/>
              </w:rPr>
              <w:t>English sense</w:t>
            </w:r>
          </w:p>
        </w:tc>
        <w:tc>
          <w:tcPr>
            <w:tcW w:type="dxa" w:w="187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Hiragino Sans"/>
                <w:b/>
                <w:color w:val="17365D"/>
                <w:sz w:val="18"/>
              </w:rPr>
              <w:t>Decision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Randnotiz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Hiragino Kaku Gothic ProN" w:hAnsi="Hiragino Kaku Gothic ProN" w:eastAsia="Hiragino Sans"/>
                <w:vanish/>
                <w:sz w:val="2"/>
              </w:rPr>
              <w:t>欄外注記</w:t>
            </w:r>
            <w:r>
              <w:drawing>
                <wp:inline xmlns:a="http://schemas.openxmlformats.org/drawingml/2006/main" xmlns:pic="http://schemas.openxmlformats.org/drawingml/2006/picture">
                  <wp:extent cx="457995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7ba7529b964bb23a80691200e04f52f1c44823067b8f4e0c1ee691f7ebddd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95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marginal note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use neutral archival term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Stimme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Hiragino Kaku Gothic ProN" w:hAnsi="Hiragino Kaku Gothic ProN" w:eastAsia="Hiragino Sans"/>
                <w:vanish/>
                <w:sz w:val="2"/>
              </w:rPr>
              <w:t>声</w:t>
            </w:r>
            <w:r>
              <w:drawing>
                <wp:inline xmlns:a="http://schemas.openxmlformats.org/drawingml/2006/main" xmlns:pic="http://schemas.openxmlformats.org/drawingml/2006/picture">
                  <wp:extent cx="133582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3e132f27eb39e775935c3d48e7729d35f038dc01b353b7eae2912b29a23d2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8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voice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retain plural possibility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Schatten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Hiragino Kaku Gothic ProN" w:hAnsi="Hiragino Kaku Gothic ProN" w:eastAsia="Hiragino Sans"/>
                <w:vanish/>
                <w:sz w:val="2"/>
              </w:rPr>
              <w:t>木陰</w:t>
            </w:r>
            <w:r>
              <w:drawing>
                <wp:inline xmlns:a="http://schemas.openxmlformats.org/drawingml/2006/main" xmlns:pic="http://schemas.openxmlformats.org/drawingml/2006/picture">
                  <wp:extent cx="241720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b2b6c561f456b5e59fd8831951aa8286b6327e43c416ce527693b34704a57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shade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prefer setting over darkness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Lesung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Hiragino Kaku Gothic ProN" w:hAnsi="Hiragino Kaku Gothic ProN" w:eastAsia="Hiragino Sans"/>
                <w:vanish/>
                <w:sz w:val="2"/>
              </w:rPr>
              <w:t>判読</w:t>
            </w:r>
            <w:r>
              <w:drawing>
                <wp:inline xmlns:a="http://schemas.openxmlformats.org/drawingml/2006/main" xmlns:pic="http://schemas.openxmlformats.org/drawingml/2006/picture">
                  <wp:extent cx="241720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94e73a9df278ebf30dec59d2bd54d292326de1568a49d0b47feb343eecf45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reading/decipherment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flag as editorial act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Vorbehalt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Hiragino Kaku Gothic ProN" w:hAnsi="Hiragino Kaku Gothic ProN" w:eastAsia="Hiragino Sans"/>
                <w:vanish/>
                <w:sz w:val="2"/>
              </w:rPr>
              <w:t>留保</w:t>
            </w:r>
            <w:r>
              <w:drawing>
                <wp:inline xmlns:a="http://schemas.openxmlformats.org/drawingml/2006/main" xmlns:pic="http://schemas.openxmlformats.org/drawingml/2006/picture">
                  <wp:extent cx="241720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297415892ecdc3ab5b5e744a4910afca3ac38018c2a6a1c41a01034c92a21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reservation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retain procedural tone</w:t>
            </w:r>
          </w:p>
        </w:tc>
      </w:tr>
    </w:tbl>
    <w:p>
      <w:pPr>
        <w:pStyle w:val="Heading1"/>
        <w:keepLines/>
      </w:pPr>
      <w:r>
        <w:rPr>
          <w:rFonts w:ascii="Aptos" w:hAnsi="Aptos" w:eastAsia="Hiragino Sans"/>
          <w:sz w:val="22"/>
        </w:rPr>
        <w:t>Aligned micro-passages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Hiragino Sans"/>
                <w:b/>
                <w:color w:val="17365D"/>
                <w:sz w:val="18"/>
              </w:rPr>
              <w:t>DE synthetic reading</w:t>
            </w:r>
          </w:p>
        </w:tc>
        <w:tc>
          <w:tcPr>
            <w:tcW w:type="dxa" w:w="338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Hiragino Sans"/>
                <w:b/>
                <w:color w:val="17365D"/>
                <w:sz w:val="18"/>
              </w:rPr>
              <w:t>JA working translation</w:t>
            </w:r>
          </w:p>
        </w:tc>
        <w:tc>
          <w:tcPr>
            <w:tcW w:type="dxa" w:w="172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Hiragino Sans"/>
                <w:b/>
                <w:color w:val="17365D"/>
                <w:sz w:val="18"/>
              </w:rPr>
              <w:t>Translator decision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Im Schatten des Baumes bleibt die Stimme offen.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Hiragino Kaku Gothic ProN" w:hAnsi="Hiragino Kaku Gothic ProN" w:eastAsia="Hiragino Sans"/>
                <w:vanish/>
                <w:sz w:val="2"/>
              </w:rPr>
              <w:t>木陰で声は開かれたままだ。</w:t>
            </w:r>
            <w:r>
              <w:drawing>
                <wp:inline xmlns:a="http://schemas.openxmlformats.org/drawingml/2006/main" xmlns:pic="http://schemas.openxmlformats.org/drawingml/2006/picture">
                  <wp:extent cx="1431235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08d8b589861d75cd6e5a4ceb60b5a9da65911478711d58cb9bb85a7677296f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235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“offen” is held as “open,” not “public.”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Die Lesung folgt der Falte, nicht der Ordnung.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Hiragino Kaku Gothic ProN" w:hAnsi="Hiragino Kaku Gothic ProN" w:eastAsia="Hiragino Sans"/>
                <w:vanish/>
                <w:sz w:val="2"/>
              </w:rPr>
              <w:t>判読は折り目に従う。</w:t>
            </w:r>
            <w:r>
              <w:drawing>
                <wp:inline xmlns:a="http://schemas.openxmlformats.org/drawingml/2006/main" xmlns:pic="http://schemas.openxmlformats.org/drawingml/2006/picture">
                  <wp:extent cx="1106822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5e0fbadd109e01a9730289c25d3a737edaf093e8a68c88c8ecd7994d51a5a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82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physical “fold” is retained.</w:t>
            </w:r>
          </w:p>
        </w:tc>
      </w:tr>
      <w:tr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Ein Vorbehalt steht klein neben dem Datum.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Hiragino Kaku Gothic ProN" w:hAnsi="Hiragino Kaku Gothic ProN" w:eastAsia="Hiragino Sans"/>
                <w:vanish/>
                <w:sz w:val="2"/>
              </w:rPr>
              <w:t>日付横に小さな留保がある。</w:t>
            </w:r>
            <w:r>
              <w:drawing>
                <wp:inline xmlns:a="http://schemas.openxmlformats.org/drawingml/2006/main" xmlns:pic="http://schemas.openxmlformats.org/drawingml/2006/picture">
                  <wp:extent cx="1431235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874b3acc7e17fedc216de94ce4d5051a886db9710557dde4a88d6f92688f64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235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r>
              <w:rPr>
                <w:rFonts w:ascii="Aptos" w:hAnsi="Aptos" w:eastAsia="Hiragino Sans"/>
                <w:sz w:val="18"/>
              </w:rPr>
              <w:t>“reservation” signals uncertainty.</w:t>
            </w:r>
          </w:p>
        </w:tc>
      </w:tr>
    </w:tbl>
    <w:p>
      <w:pPr>
        <w:pStyle w:val="Heading1"/>
        <w:keepLines/>
      </w:pPr>
      <w:r>
        <w:rPr>
          <w:rFonts w:ascii="Aptos" w:hAnsi="Aptos" w:eastAsia="Hiragino Sans"/>
          <w:sz w:val="22"/>
        </w:rPr>
        <w:t>Uncertainty register</w:t>
      </w:r>
    </w:p>
    <w:p>
      <w:pPr>
        <w:keepLines/>
      </w:pPr>
      <w:r>
        <w:rPr>
          <w:rFonts w:ascii="Aptos" w:hAnsi="Aptos" w:eastAsia="Hiragino Sans"/>
          <w:sz w:val="22"/>
        </w:rPr>
        <w:t>Square brackets identify a translator-supplied bridge; braces would identify an omitted source character, but no braces occur in this synthetic dossier. Japanese phrasing is chosen for readable equivalence, not for claimed historical usage.</w:t>
      </w:r>
    </w:p>
    <w:p>
      <w:pPr>
        <w:pStyle w:val="Heading2"/>
        <w:keepLines/>
      </w:pPr>
      <w:r>
        <w:rPr>
          <w:rFonts w:ascii="Aptos" w:hAnsi="Aptos" w:eastAsia="Hiragino Sans"/>
          <w:sz w:val="22"/>
        </w:rPr>
        <w:t>QA handoff</w:t>
      </w:r>
    </w:p>
    <w:p>
      <w:pPr>
        <w:keepLines/>
      </w:pPr>
      <w:r>
        <w:rPr>
          <w:rFonts w:ascii="Aptos" w:hAnsi="Aptos" w:eastAsia="Hiragino Sans"/>
          <w:sz w:val="22"/>
        </w:rPr>
        <w:t>Check that German and Japanese glyphs render cleanly, that source and target remain paired row-by-row, and that “folio 184” and “citation LA-042” are not mistaken for an external citation.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Hiragino Sans"/>
        <w:b w:val="0"/>
        <w:color w:val="52606D"/>
        <w:sz w:val="16"/>
      </w:rPr>
      <w:t>Synthetic working document  |  German-Japanese gloss dossier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Hiragino Sans"/>
        <w:b/>
        <w:color w:val="52606D"/>
        <w:sz w:val="16"/>
      </w:rPr>
      <w:t>LINDEN ARCHIVE PROJECT  /  TRANSLATION WORKING PAPERS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 w:eastAsia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Hiragino San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Hiragino Sans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