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D78"/>
          <w:sz w:val="44"/>
        </w:rPr>
        <w:t>Synthetic Export Brief EXP-26Q3-006583</w:t>
      </w:r>
    </w:p>
    <w:p>
      <w:pPr>
        <w:pStyle w:val="Subtitle"/>
      </w:pPr>
      <w:r>
        <w:t>Generated 2026-08-04T12:01:00+09:00 | Aster Loop株式会社 | downloads/exports</w:t>
      </w:r>
    </w:p>
    <w:p>
      <w:pPr>
        <w:pStyle w:val="Heading1"/>
      </w:pPr>
      <w:r>
        <w:t>Export reconciliation</w:t>
      </w:r>
    </w:p>
    <w:p>
      <w:r>
        <w:t>This synthetic tool export summarizes the same-scope evidence record p01-full-003692. It preserves Product Beta R4 facts without creating a new source of truth. Lifecycle state: closed. The applicable latency anchor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Export ID</w:t>
            </w:r>
          </w:p>
        </w:tc>
        <w:tc>
          <w:tcPr>
            <w:tcW w:type="dxa" w:w="4896"/>
          </w:tcPr>
          <w:p>
            <w:r>
              <w:t>EXP-26Q3-006583</w:t>
            </w:r>
          </w:p>
        </w:tc>
      </w:tr>
      <w:tr>
        <w:tc>
          <w:tcPr>
            <w:tcW w:type="dxa" w:w="4896"/>
          </w:tcPr>
          <w:p>
            <w:r>
              <w:t>Source ID</w:t>
            </w:r>
          </w:p>
        </w:tc>
        <w:tc>
          <w:tcPr>
            <w:tcW w:type="dxa" w:w="4896"/>
          </w:tcPr>
          <w:p>
            <w:r>
              <w:t>p01-src-006583</w:t>
            </w:r>
          </w:p>
        </w:tc>
      </w:tr>
      <w:tr>
        <w:tc>
          <w:tcPr>
            <w:tcW w:type="dxa" w:w="4896"/>
          </w:tcPr>
          <w:p>
            <w:r>
              <w:t>Generated</w:t>
            </w:r>
          </w:p>
        </w:tc>
        <w:tc>
          <w:tcPr>
            <w:tcW w:type="dxa" w:w="4896"/>
          </w:tcPr>
          <w:p>
            <w:r>
              <w:t>2026-08-04T12:01:00+09:00</w:t>
            </w:r>
          </w:p>
        </w:tc>
      </w:tr>
      <w:tr>
        <w:tc>
          <w:tcPr>
            <w:tcW w:type="dxa" w:w="4896"/>
          </w:tcPr>
          <w:p>
            <w:r>
              <w:t>Dependency</w:t>
            </w:r>
          </w:p>
        </w:tc>
        <w:tc>
          <w:tcPr>
            <w:tcW w:type="dxa" w:w="4896"/>
          </w:tcPr>
          <w:p>
            <w:r>
              <w:t>p01-full-003692</w:t>
            </w:r>
          </w:p>
        </w:tc>
      </w:tr>
      <w:tr>
        <w:tc>
          <w:tcPr>
            <w:tcW w:type="dxa" w:w="4896"/>
          </w:tcPr>
          <w:p>
            <w:r>
              <w:t>Scope</w:t>
            </w:r>
          </w:p>
        </w:tc>
        <w:tc>
          <w:tcPr>
            <w:tcW w:type="dxa" w:w="4896"/>
          </w:tcPr>
          <w:p>
            <w:r>
              <w:t>downloads/exports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closed</w:t>
            </w:r>
          </w:p>
        </w:tc>
      </w:tr>
      <w:tr>
        <w:tc>
          <w:tcPr>
            <w:tcW w:type="dxa" w:w="4896"/>
          </w:tcPr>
          <w:p>
            <w:r>
              <w:t>Measurement</w:t>
            </w:r>
          </w:p>
        </w:tc>
        <w:tc>
          <w:tcPr>
            <w:tcW w:type="dxa" w:w="4896"/>
          </w:tcPr>
          <w:p>
            <w:r>
              <w:t>225 ms</w:t>
            </w:r>
          </w:p>
        </w:tc>
      </w:tr>
    </w:tbl>
    <w:p>
      <w:pPr>
        <w:pStyle w:val="Heading1"/>
      </w:pPr>
      <w:r>
        <w:t>Review note</w:t>
      </w:r>
    </w:p>
    <w:p>
      <w:r>
        <w:t>The transport copy is synthetic, role-based, and intended for engineering reconciliation. It contains no customer, personal, credential, or operational production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