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73B59"/>
          <w:sz w:val="40"/>
        </w:rPr>
        <w:t>INSPECTION RECORD TEMPLATE</w:t>
      </w:r>
    </w:p>
    <w:p>
      <w:pPr>
        <w:spacing w:after="280"/>
      </w:pPr>
      <w:r>
        <w:rPr>
          <w:rFonts w:ascii="Calibri" w:hAnsi="Calibri"/>
          <w:b w:val="0"/>
          <w:color w:val="516777"/>
          <w:sz w:val="22"/>
        </w:rPr>
        <w:t>Dimensional verification | controlled example for ForgeLine Product Alpha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4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color w:val="173B59"/>
                <w:sz w:val="17"/>
              </w:rPr>
              <w:t>Reference date</w:t>
            </w:r>
          </w:p>
        </w:tc>
        <w:tc>
          <w:tcPr>
            <w:tcW w:type="dxa" w:w="234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color w:val="173B59"/>
                <w:sz w:val="17"/>
              </w:rPr>
              <w:t>Related nonconformance</w:t>
            </w:r>
          </w:p>
        </w:tc>
        <w:tc>
          <w:tcPr>
            <w:tcW w:type="dxa" w:w="234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color w:val="173B59"/>
                <w:sz w:val="17"/>
              </w:rPr>
              <w:t>Acceptance band</w:t>
            </w:r>
          </w:p>
        </w:tc>
        <w:tc>
          <w:tcPr>
            <w:tcW w:type="dxa" w:w="234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color w:val="173B59"/>
                <w:sz w:val="17"/>
              </w:rPr>
              <w:t>Record status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color w:val="172F45"/>
                <w:sz w:val="19"/>
              </w:rPr>
              <w:t>2026-08-11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color w:val="172F45"/>
                <w:sz w:val="19"/>
              </w:rPr>
              <w:t>NCR-026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color w:val="172F45"/>
                <w:sz w:val="19"/>
              </w:rPr>
              <w:t>+/- 0.18 mm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color w:val="172F45"/>
                <w:sz w:val="19"/>
              </w:rPr>
              <w:t>Example completed entry</w:t>
            </w:r>
          </w:p>
        </w:tc>
      </w:tr>
    </w:tbl>
    <w:p>
      <w:pPr>
        <w:pStyle w:val="Heading1"/>
      </w:pPr>
      <w:r>
        <w:t>Use and acceptance basis</w:t>
      </w:r>
    </w:p>
    <w:p>
      <w:r>
        <w:t>Use this reference layout when recording a dimensional check after a controlled process step. The governing example uses the nominal dimension and the tolerance band stated below; disposition is based on the measured value, traceability note, and review decision.</w:t>
      </w:r>
    </w:p>
    <w:p>
      <w:r>
        <w:t>The form is intentionally populated with a synthetic example so that each field has a clear expected use. Replace the example values only within the controlled record created at the time of inspection.</w:t>
      </w:r>
    </w:p>
    <w:p>
      <w:pPr>
        <w:pStyle w:val="Heading1"/>
      </w:pPr>
      <w:r>
        <w:t>Example completed inspection entry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76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73B59"/>
                <w:sz w:val="17"/>
              </w:rPr>
              <w:t>Characteristic</w:t>
            </w:r>
          </w:p>
        </w:tc>
        <w:tc>
          <w:tcPr>
            <w:tcW w:type="dxa" w:w="115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73B59"/>
                <w:sz w:val="17"/>
              </w:rPr>
              <w:t>Nominal</w:t>
            </w:r>
          </w:p>
        </w:tc>
        <w:tc>
          <w:tcPr>
            <w:tcW w:type="dxa" w:w="115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73B59"/>
                <w:sz w:val="17"/>
              </w:rPr>
              <w:t>Observed</w:t>
            </w:r>
          </w:p>
        </w:tc>
        <w:tc>
          <w:tcPr>
            <w:tcW w:type="dxa" w:w="160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73B59"/>
                <w:sz w:val="17"/>
              </w:rPr>
              <w:t>Acceptance</w:t>
            </w:r>
          </w:p>
        </w:tc>
        <w:tc>
          <w:tcPr>
            <w:tcW w:type="dxa" w:w="370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73B59"/>
                <w:sz w:val="17"/>
              </w:rPr>
              <w:t>Review note</w:t>
            </w:r>
          </w:p>
        </w:tc>
      </w:tr>
      <w:tr>
        <w:tc>
          <w:tcPr>
            <w:tcW w:type="dxa" w:w="1760"/>
            <w:vAlign w:val="center"/>
          </w:tcPr>
          <w:p>
            <w:r/>
            <w:r>
              <w:rPr>
                <w:rFonts w:ascii="Calibri" w:hAnsi="Calibri"/>
                <w:b w:val="0"/>
                <w:color w:val="172F45"/>
                <w:sz w:val="17"/>
              </w:rPr>
              <w:t>Seal land width</w:t>
            </w:r>
          </w:p>
        </w:tc>
        <w:tc>
          <w:tcPr>
            <w:tcW w:type="dxa" w:w="1150"/>
            <w:vAlign w:val="center"/>
          </w:tcPr>
          <w:p>
            <w:r/>
            <w:r>
              <w:rPr>
                <w:rFonts w:ascii="Calibri" w:hAnsi="Calibri"/>
                <w:b w:val="0"/>
                <w:color w:val="172F45"/>
                <w:sz w:val="17"/>
              </w:rPr>
              <w:t>12.00 mm</w:t>
            </w:r>
          </w:p>
        </w:tc>
        <w:tc>
          <w:tcPr>
            <w:tcW w:type="dxa" w:w="1150"/>
            <w:vAlign w:val="center"/>
          </w:tcPr>
          <w:p>
            <w:r/>
            <w:r>
              <w:rPr>
                <w:rFonts w:ascii="Calibri" w:hAnsi="Calibri"/>
                <w:b w:val="0"/>
                <w:color w:val="172F45"/>
                <w:sz w:val="17"/>
              </w:rPr>
              <w:t>12.08 mm</w:t>
            </w:r>
          </w:p>
        </w:tc>
        <w:tc>
          <w:tcPr>
            <w:tcW w:type="dxa" w:w="1600"/>
            <w:vAlign w:val="center"/>
          </w:tcPr>
          <w:p>
            <w:r/>
            <w:r>
              <w:rPr>
                <w:rFonts w:ascii="Calibri" w:hAnsi="Calibri"/>
                <w:b w:val="0"/>
                <w:color w:val="172F45"/>
                <w:sz w:val="17"/>
              </w:rPr>
              <w:t>Within +/- 0.18 mm</w:t>
            </w:r>
          </w:p>
        </w:tc>
        <w:tc>
          <w:tcPr>
            <w:tcW w:type="dxa" w:w="3700"/>
            <w:vAlign w:val="center"/>
          </w:tcPr>
          <w:p>
            <w:r/>
            <w:r>
              <w:rPr>
                <w:rFonts w:ascii="Calibri" w:hAnsi="Calibri"/>
                <w:b w:val="0"/>
                <w:color w:val="172F45"/>
                <w:sz w:val="17"/>
              </w:rPr>
              <w:t>Accepted; confirm gage zero before next lot</w:t>
            </w:r>
          </w:p>
        </w:tc>
      </w:tr>
      <w:tr>
        <w:tc>
          <w:tcPr>
            <w:tcW w:type="dxa" w:w="1760"/>
            <w:vAlign w:val="center"/>
          </w:tcPr>
          <w:p>
            <w:r/>
            <w:r>
              <w:rPr>
                <w:rFonts w:ascii="Calibri" w:hAnsi="Calibri"/>
                <w:b w:val="0"/>
                <w:color w:val="172F45"/>
                <w:sz w:val="17"/>
              </w:rPr>
              <w:t>Locator pitch</w:t>
            </w:r>
          </w:p>
        </w:tc>
        <w:tc>
          <w:tcPr>
            <w:tcW w:type="dxa" w:w="1150"/>
            <w:vAlign w:val="center"/>
          </w:tcPr>
          <w:p>
            <w:r/>
            <w:r>
              <w:rPr>
                <w:rFonts w:ascii="Calibri" w:hAnsi="Calibri"/>
                <w:b w:val="0"/>
                <w:color w:val="172F45"/>
                <w:sz w:val="17"/>
              </w:rPr>
              <w:t>28.50 mm</w:t>
            </w:r>
          </w:p>
        </w:tc>
        <w:tc>
          <w:tcPr>
            <w:tcW w:type="dxa" w:w="1150"/>
            <w:vAlign w:val="center"/>
          </w:tcPr>
          <w:p>
            <w:r/>
            <w:r>
              <w:rPr>
                <w:rFonts w:ascii="Calibri" w:hAnsi="Calibri"/>
                <w:b w:val="0"/>
                <w:color w:val="172F45"/>
                <w:sz w:val="17"/>
              </w:rPr>
              <w:t>28.36 mm</w:t>
            </w:r>
          </w:p>
        </w:tc>
        <w:tc>
          <w:tcPr>
            <w:tcW w:type="dxa" w:w="1600"/>
            <w:vAlign w:val="center"/>
          </w:tcPr>
          <w:p>
            <w:r/>
            <w:r>
              <w:rPr>
                <w:rFonts w:ascii="Calibri" w:hAnsi="Calibri"/>
                <w:b w:val="0"/>
                <w:color w:val="172F45"/>
                <w:sz w:val="17"/>
              </w:rPr>
              <w:t>Within +/- 0.18 mm</w:t>
            </w:r>
          </w:p>
        </w:tc>
        <w:tc>
          <w:tcPr>
            <w:tcW w:type="dxa" w:w="3700"/>
            <w:vAlign w:val="center"/>
          </w:tcPr>
          <w:p>
            <w:r/>
            <w:r>
              <w:rPr>
                <w:rFonts w:ascii="Calibri" w:hAnsi="Calibri"/>
                <w:b w:val="0"/>
                <w:color w:val="172F45"/>
                <w:sz w:val="17"/>
              </w:rPr>
              <w:t>Accepted; monitor trend in verification log</w:t>
            </w:r>
          </w:p>
        </w:tc>
      </w:tr>
      <w:tr>
        <w:tc>
          <w:tcPr>
            <w:tcW w:type="dxa" w:w="1760"/>
            <w:vAlign w:val="center"/>
          </w:tcPr>
          <w:p>
            <w:r/>
            <w:r>
              <w:rPr>
                <w:rFonts w:ascii="Calibri" w:hAnsi="Calibri"/>
                <w:b w:val="0"/>
                <w:color w:val="172F45"/>
                <w:sz w:val="17"/>
              </w:rPr>
              <w:t>Surface edge condition</w:t>
            </w:r>
          </w:p>
        </w:tc>
        <w:tc>
          <w:tcPr>
            <w:tcW w:type="dxa" w:w="1150"/>
            <w:vAlign w:val="center"/>
          </w:tcPr>
          <w:p>
            <w:r/>
            <w:r>
              <w:rPr>
                <w:rFonts w:ascii="Calibri" w:hAnsi="Calibri"/>
                <w:b w:val="0"/>
                <w:color w:val="172F45"/>
                <w:sz w:val="17"/>
              </w:rPr>
              <w:t>Visual</w:t>
            </w:r>
          </w:p>
        </w:tc>
        <w:tc>
          <w:tcPr>
            <w:tcW w:type="dxa" w:w="1150"/>
            <w:vAlign w:val="center"/>
          </w:tcPr>
          <w:p>
            <w:r/>
            <w:r>
              <w:rPr>
                <w:rFonts w:ascii="Calibri" w:hAnsi="Calibri"/>
                <w:b w:val="0"/>
                <w:color w:val="172F45"/>
                <w:sz w:val="17"/>
              </w:rPr>
              <w:t>No burr observed</w:t>
            </w:r>
          </w:p>
        </w:tc>
        <w:tc>
          <w:tcPr>
            <w:tcW w:type="dxa" w:w="1600"/>
            <w:vAlign w:val="center"/>
          </w:tcPr>
          <w:p>
            <w:r/>
            <w:r>
              <w:rPr>
                <w:rFonts w:ascii="Calibri" w:hAnsi="Calibri"/>
                <w:b w:val="0"/>
                <w:color w:val="172F45"/>
                <w:sz w:val="17"/>
              </w:rPr>
              <w:t>No sharp edge or burr</w:t>
            </w:r>
          </w:p>
        </w:tc>
        <w:tc>
          <w:tcPr>
            <w:tcW w:type="dxa" w:w="3700"/>
            <w:vAlign w:val="center"/>
          </w:tcPr>
          <w:p>
            <w:r/>
            <w:r>
              <w:rPr>
                <w:rFonts w:ascii="Calibri" w:hAnsi="Calibri"/>
                <w:b w:val="0"/>
                <w:color w:val="172F45"/>
                <w:sz w:val="17"/>
              </w:rPr>
              <w:t>Accepted; linked to NCR-026 containment review</w:t>
            </w:r>
          </w:p>
        </w:tc>
      </w:tr>
    </w:tbl>
    <w:p>
      <w:pPr>
        <w:pStyle w:val="Heading1"/>
      </w:pPr>
      <w:r>
        <w:t>Reviewer checklist</w:t>
      </w:r>
    </w:p>
    <w:p>
      <w:pPr>
        <w:pStyle w:val="ListBullet"/>
      </w:pPr>
      <w:r>
        <w:rPr>
          <w:rFonts w:ascii="Calibri" w:hAnsi="Calibri"/>
          <w:b w:val="0"/>
          <w:color w:val="172F45"/>
          <w:sz w:val="20"/>
        </w:rPr>
        <w:t>Confirm the measurement method matches the approved work instruction.</w:t>
      </w:r>
    </w:p>
    <w:p>
      <w:pPr>
        <w:pStyle w:val="ListBullet"/>
      </w:pPr>
      <w:r>
        <w:rPr>
          <w:rFonts w:ascii="Calibri" w:hAnsi="Calibri"/>
          <w:b w:val="0"/>
          <w:color w:val="172F45"/>
          <w:sz w:val="20"/>
        </w:rPr>
        <w:t>Verify observed values are within +/- 0.18 mm or document a controlled disposition.</w:t>
      </w:r>
    </w:p>
    <w:p>
      <w:pPr>
        <w:pStyle w:val="ListBullet"/>
      </w:pPr>
      <w:r>
        <w:rPr>
          <w:rFonts w:ascii="Calibri" w:hAnsi="Calibri"/>
          <w:b w:val="0"/>
          <w:color w:val="172F45"/>
          <w:sz w:val="20"/>
        </w:rPr>
        <w:t>Record the relationship to NCR-026 when the check supports containment or effectiveness.</w:t>
      </w:r>
    </w:p>
    <w:p>
      <w:pPr>
        <w:pStyle w:val="ListBullet"/>
      </w:pPr>
      <w:r>
        <w:rPr>
          <w:rFonts w:ascii="Calibri" w:hAnsi="Calibri"/>
          <w:b w:val="0"/>
          <w:color w:val="172F45"/>
          <w:sz w:val="20"/>
        </w:rPr>
        <w:t>Retain the completed production record in the assigned quality repository.</w:t>
      </w:r>
    </w:p>
    <w:p>
      <w:r>
        <w:t>Document purpose: quick reference for synthetic training and quality-system demonstration. No real person, supplier, facility, or production record is represented.</w:t>
      </w:r>
    </w:p>
    <w:sectPr>
      <w:headerReference w:type="default" r:id="rId9"/>
      <w:footerReference w:type="default" r:id="rId10"/>
      <w:pgSz w:w="12240" w:h="15840"/>
      <w:pgMar w:top="1152" w:right="1152" w:bottom="1080" w:left="1152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16777"/>
        <w:sz w:val="16"/>
      </w:rPr>
      <w:t>Synthetic reference only - Product Alpha quality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16777"/>
        <w:sz w:val="16"/>
      </w:rPr>
      <w:t>FORGELINE QUALITY ENGINEERING | CONTROLLED 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Inspection Record Template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