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CAPA Plan: NCR-026</w:t>
      </w:r>
    </w:p>
    <w:p>
      <w:pPr>
        <w:spacing w:after="280"/>
      </w:pPr>
      <w:r>
        <w:rPr>
          <w:i/>
          <w:color w:val="505050"/>
        </w:rPr>
        <w:t>Controlled corrective and preventive action plan for Product Alpha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Acceptance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+/-0.18 mm</w:t>
            </w:r>
          </w:p>
        </w:tc>
      </w:tr>
    </w:tbl>
    <w:p/>
    <w:p>
      <w:pPr>
        <w:pStyle w:val="Heading1"/>
      </w:pPr>
      <w:r>
        <w:t>Purpose</w:t>
      </w:r>
    </w:p>
    <w:p>
      <w:r>
        <w:t>Restore and sustain Product Alpha locator performance after variation exceeded the approved tolerance. All content is synthetic for ForgeLine operational training.</w:t>
      </w:r>
    </w:p>
    <w:p>
      <w:pPr>
        <w:pStyle w:val="Heading1"/>
      </w:pPr>
      <w:r>
        <w:t>Containment and corrective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Due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Acceptance evidence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Hold affected locator sleeves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shift lead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2026-08-12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Containment log complete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Install replacement sleeves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Manufacturing engineer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2026-08-14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Setup readings within +/-0.18 mm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Train inspection cells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trainer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Training confirmations complete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Monitor three released lots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engineer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2026-08-22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recurrence events</w:t>
            </w:r>
          </w:p>
        </w:tc>
      </w:tr>
    </w:tbl>
    <w:p>
      <w:pPr>
        <w:pStyle w:val="Heading1"/>
      </w:pPr>
      <w:r>
        <w:t>Effectiveness decision</w:t>
      </w:r>
    </w:p>
    <w:p>
      <w:r>
        <w:t>Closure requires ten or more sampled readings per monitored lot within +/-0.18 mm and no recurrence of NCR-026. Product Beta references use the same ForgeLine control language where applicable.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ForgeLine | Product Alpha | NCR-026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