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CAPA Closure Package</w:t>
      </w:r>
    </w:p>
    <w:p>
      <w:pPr>
        <w:spacing w:after="280"/>
      </w:pPr>
      <w:r>
        <w:rPr>
          <w:i/>
          <w:color w:val="505050"/>
        </w:rPr>
        <w:t>Evidence index and closure recommendation for NCR-026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2026-08-11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Acceptance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+/-0.18 mm</w:t>
            </w:r>
          </w:p>
        </w:tc>
      </w:tr>
    </w:tbl>
    <w:p/>
    <w:p>
      <w:pPr>
        <w:pStyle w:val="Heading1"/>
      </w:pPr>
      <w:r>
        <w:t>Closure recommendation</w:t>
      </w:r>
    </w:p>
    <w:p>
      <w:r>
        <w:t>Conditional closure is recommended after the three-lot monitoring action is completed. Containment, sleeve replacement, and training are verified complete.</w:t>
      </w:r>
    </w:p>
    <w:p>
      <w:pPr>
        <w:pStyle w:val="Heading1"/>
      </w:pPr>
      <w:r>
        <w:t>Evidence index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Evidence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Reviewer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CL-026 containment log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Affected sleeves segregated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Quality shift lead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VR-026-02 setup verification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Readings within +/-0.18 mm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Manufacturing engineer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TR-026 training confirmation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Inspection cells trained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Quality trainer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PCM-026 monitoring record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Three-lot review pending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Quality engineer</w:t>
            </w:r>
          </w:p>
        </w:tc>
      </w:tr>
    </w:tbl>
    <w:p>
      <w:pPr>
        <w:pStyle w:val="Heading1"/>
      </w:pPr>
      <w:r>
        <w:t>Residual risk</w:t>
      </w:r>
    </w:p>
    <w:p>
      <w:r>
        <w:t>Residual risk is controlled by condition-based sleeve replacement and first-piece verification. Any reading outside +/-0.18 mm reopens investigation.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ForgeLine | Product Alpha | NCR-026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