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E74B5"/>
          <w:sz w:val="20"/>
        </w:rPr>
        <w:t>FORGELINE  |  QUALITY SYSTEM</w:t>
      </w:r>
    </w:p>
    <w:p>
      <w:r>
        <w:rPr>
          <w:b/>
          <w:color w:val="0B2545"/>
          <w:sz w:val="44"/>
        </w:rPr>
        <w:t>Post-CAPA Monitoring Plan</w:t>
      </w:r>
    </w:p>
    <w:p>
      <w:r>
        <w:rPr>
          <w:color w:val="5A5A5A"/>
          <w:sz w:val="22"/>
        </w:rPr>
        <w:t>NCR-026 | Product Beta | Monitoring window begins 2026-08-11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CAPA ID</w:t>
            </w:r>
          </w:p>
        </w:tc>
        <w:tc>
          <w:tcPr>
            <w:tcW w:type="dxa" w:w="7560"/>
            <w:vAlign w:val="center"/>
          </w:tcPr>
          <w:p>
            <w:r>
              <w:t>NCR-026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Review population</w:t>
            </w:r>
          </w:p>
        </w:tc>
        <w:tc>
          <w:tcPr>
            <w:tcW w:type="dxa" w:w="7560"/>
            <w:vAlign w:val="center"/>
          </w:tcPr>
          <w:p>
            <w:r>
              <w:t>First 10 Product Beta lots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Control criterion</w:t>
            </w:r>
          </w:p>
        </w:tc>
        <w:tc>
          <w:tcPr>
            <w:tcW w:type="dxa" w:w="7560"/>
            <w:vAlign w:val="center"/>
          </w:tcPr>
          <w:p>
            <w:r>
              <w:t>±0.18 mm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7560"/>
            <w:vAlign w:val="center"/>
          </w:tcPr>
          <w:p>
            <w:r>
              <w:t>Quality Engineering</w:t>
            </w:r>
          </w:p>
        </w:tc>
      </w:tr>
    </w:tbl>
    <w:p/>
    <w:p>
      <w:pPr>
        <w:pStyle w:val="Heading1"/>
      </w:pPr>
      <w:r>
        <w:t>Monitoring method</w:t>
      </w:r>
    </w:p>
    <w:p>
      <w:r>
        <w:t>Record the locating-feature measurement, verifier role, and release decision for each monitored lot. The metrology reviewer must be independent of the setup adjustment.</w:t>
      </w:r>
    </w:p>
    <w:p>
      <w:pPr>
        <w:pStyle w:val="Heading1"/>
      </w:pPr>
      <w:r>
        <w:t>Review cadence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0"/>
            <w:shd w:fill="E8EEF5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2000"/>
            <w:shd w:fill="E8EEF5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560"/>
            <w:shd w:fill="E8EEF5"/>
          </w:tcPr>
          <w:p>
            <w:r>
              <w:rPr>
                <w:b/>
              </w:rPr>
              <w:t>Decision rule</w:t>
            </w:r>
          </w:p>
        </w:tc>
      </w:tr>
      <w:tr>
        <w:tc>
          <w:tcPr>
            <w:tcW w:type="dxa" w:w="2800"/>
            <w:vAlign w:val="center"/>
          </w:tcPr>
          <w:p>
            <w:r>
              <w:t>First-lot review</w:t>
            </w:r>
          </w:p>
        </w:tc>
        <w:tc>
          <w:tcPr>
            <w:tcW w:type="dxa" w:w="2000"/>
            <w:vAlign w:val="center"/>
          </w:tcPr>
          <w:p>
            <w:r>
              <w:t>Before release</w:t>
            </w:r>
          </w:p>
        </w:tc>
        <w:tc>
          <w:tcPr>
            <w:tcW w:type="dxa" w:w="4560"/>
            <w:vAlign w:val="center"/>
          </w:tcPr>
          <w:p>
            <w:r>
              <w:t>Two signatures and value within ±0.18 mm</w:t>
            </w:r>
          </w:p>
        </w:tc>
      </w:tr>
      <w:tr>
        <w:tc>
          <w:tcPr>
            <w:tcW w:type="dxa" w:w="2800"/>
            <w:vAlign w:val="center"/>
          </w:tcPr>
          <w:p>
            <w:r>
              <w:t>Trend review</w:t>
            </w:r>
          </w:p>
        </w:tc>
        <w:tc>
          <w:tcPr>
            <w:tcW w:type="dxa" w:w="2000"/>
            <w:vAlign w:val="center"/>
          </w:tcPr>
          <w:p>
            <w:r>
              <w:t>After lots 3, 6, and 10</w:t>
            </w:r>
          </w:p>
        </w:tc>
        <w:tc>
          <w:tcPr>
            <w:tcW w:type="dxa" w:w="4560"/>
            <w:vAlign w:val="center"/>
          </w:tcPr>
          <w:p>
            <w:r>
              <w:t>No adverse trend or missing evidence</w:t>
            </w:r>
          </w:p>
        </w:tc>
      </w:tr>
      <w:tr>
        <w:tc>
          <w:tcPr>
            <w:tcW w:type="dxa" w:w="2800"/>
            <w:vAlign w:val="center"/>
          </w:tcPr>
          <w:p>
            <w:r>
              <w:t>Effectiveness decision</w:t>
            </w:r>
          </w:p>
        </w:tc>
        <w:tc>
          <w:tcPr>
            <w:tcW w:type="dxa" w:w="2000"/>
            <w:vAlign w:val="center"/>
          </w:tcPr>
          <w:p>
            <w:r>
              <w:t>2026-08-25</w:t>
            </w:r>
          </w:p>
        </w:tc>
        <w:tc>
          <w:tcPr>
            <w:tcW w:type="dxa" w:w="4560"/>
            <w:vAlign w:val="center"/>
          </w:tcPr>
          <w:p>
            <w:r>
              <w:t>Effective only if all criteria met</w:t>
            </w:r>
          </w:p>
        </w:tc>
      </w:tr>
    </w:tbl>
    <w:p/>
    <w:p>
      <w:pPr>
        <w:pStyle w:val="Heading1"/>
      </w:pPr>
      <w:r>
        <w:t>Data integrity</w:t>
      </w:r>
    </w:p>
    <w:p>
      <w:r>
        <w:t>Use the closure evidence register as the controlled index. Corrections require a dated explanation; no uncontrolled substitute record is accepted.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internal quality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8"/>
      </w:rPr>
      <w:t>ForgeLine | Product Beta | Controlled CAPA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