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2E74B5"/>
          <w:sz w:val="20"/>
        </w:rPr>
        <w:t>FORGELINE  |  QUALITY SYSTEM</w:t>
      </w:r>
    </w:p>
    <w:p>
      <w:r>
        <w:rPr>
          <w:b/>
          <w:color w:val="0B2545"/>
          <w:sz w:val="44"/>
        </w:rPr>
        <w:t>Training and Communication Record</w:t>
      </w:r>
    </w:p>
    <w:p>
      <w:r>
        <w:rPr>
          <w:color w:val="5A5A5A"/>
          <w:sz w:val="22"/>
        </w:rPr>
        <w:t>NCR-026 | Product Beta controlled-workflow update | 2026-08-11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00"/>
            <w:vAlign w:val="center"/>
            <w:shd w:fill="F2F4F7"/>
          </w:tcPr>
          <w:p>
            <w:r>
              <w:rPr>
                <w:b/>
              </w:rPr>
              <w:t>Change focus</w:t>
            </w:r>
          </w:p>
        </w:tc>
        <w:tc>
          <w:tcPr>
            <w:tcW w:type="dxa" w:w="7560"/>
            <w:vAlign w:val="center"/>
          </w:tcPr>
          <w:p>
            <w:r>
              <w:t>Setup, measurement, release separation</w:t>
            </w:r>
          </w:p>
        </w:tc>
      </w:tr>
      <w:tr>
        <w:tc>
          <w:tcPr>
            <w:tcW w:type="dxa" w:w="1800"/>
            <w:vAlign w:val="center"/>
            <w:shd w:fill="F2F4F7"/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560"/>
            <w:vAlign w:val="center"/>
          </w:tcPr>
          <w:p>
            <w:r>
              <w:t>Manufacturing and metrology roles</w:t>
            </w:r>
          </w:p>
        </w:tc>
      </w:tr>
      <w:tr>
        <w:tc>
          <w:tcPr>
            <w:tcW w:type="dxa" w:w="1800"/>
            <w:vAlign w:val="center"/>
            <w:shd w:fill="F2F4F7"/>
          </w:tcPr>
          <w:p>
            <w:r>
              <w:rPr>
                <w:b/>
              </w:rPr>
              <w:t>Acceptance limit</w:t>
            </w:r>
          </w:p>
        </w:tc>
        <w:tc>
          <w:tcPr>
            <w:tcW w:type="dxa" w:w="7560"/>
            <w:vAlign w:val="center"/>
          </w:tcPr>
          <w:p>
            <w:r>
              <w:t>±0.18 mm</w:t>
            </w:r>
          </w:p>
        </w:tc>
      </w:tr>
      <w:tr>
        <w:tc>
          <w:tcPr>
            <w:tcW w:type="dxa" w:w="1800"/>
            <w:vAlign w:val="center"/>
            <w:shd w:fill="F2F4F7"/>
          </w:tcPr>
          <w:p>
            <w:r>
              <w:rPr>
                <w:b/>
              </w:rPr>
              <w:t>CAPA link</w:t>
            </w:r>
          </w:p>
        </w:tc>
        <w:tc>
          <w:tcPr>
            <w:tcW w:type="dxa" w:w="7560"/>
            <w:vAlign w:val="center"/>
          </w:tcPr>
          <w:p>
            <w:r>
              <w:t>NCR-026</w:t>
            </w:r>
          </w:p>
        </w:tc>
      </w:tr>
    </w:tbl>
    <w:p/>
    <w:p>
      <w:pPr>
        <w:pStyle w:val="Heading1"/>
      </w:pPr>
      <w:r>
        <w:t>Learning objectives</w:t>
      </w:r>
    </w:p>
    <w:p>
      <w:r>
        <w:t>Participants can identify a Product Beta dimensional deviation, apply containment, obtain independent verification, and document release evidence.</w:t>
      </w:r>
    </w:p>
    <w:p>
      <w:pPr>
        <w:pStyle w:val="Heading1"/>
      </w:pPr>
      <w:r>
        <w:t>Training sequence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600"/>
            <w:shd w:fill="E8EEF5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2500"/>
            <w:shd w:fill="E8EEF5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4260"/>
            <w:shd w:fill="E8EEF5"/>
          </w:tcPr>
          <w:p>
            <w:r>
              <w:rPr>
                <w:b/>
              </w:rPr>
              <w:t>Completion evidence</w:t>
            </w:r>
          </w:p>
        </w:tc>
      </w:tr>
      <w:tr>
        <w:tc>
          <w:tcPr>
            <w:tcW w:type="dxa" w:w="2600"/>
            <w:vAlign w:val="center"/>
          </w:tcPr>
          <w:p>
            <w:r>
              <w:t>NCR-026 scenario</w:t>
            </w:r>
          </w:p>
        </w:tc>
        <w:tc>
          <w:tcPr>
            <w:tcW w:type="dxa" w:w="2500"/>
            <w:vAlign w:val="center"/>
          </w:tcPr>
          <w:p>
            <w:r>
              <w:t>Facilitated walkthrough</w:t>
            </w:r>
          </w:p>
        </w:tc>
        <w:tc>
          <w:tcPr>
            <w:tcW w:type="dxa" w:w="4260"/>
            <w:vAlign w:val="center"/>
          </w:tcPr>
          <w:p>
            <w:r>
              <w:t>Role acknowledges containment trigger</w:t>
            </w:r>
          </w:p>
        </w:tc>
      </w:tr>
      <w:tr>
        <w:tc>
          <w:tcPr>
            <w:tcW w:type="dxa" w:w="2600"/>
            <w:vAlign w:val="center"/>
          </w:tcPr>
          <w:p>
            <w:r>
              <w:t>Dual verification</w:t>
            </w:r>
          </w:p>
        </w:tc>
        <w:tc>
          <w:tcPr>
            <w:tcW w:type="dxa" w:w="2500"/>
            <w:vAlign w:val="center"/>
          </w:tcPr>
          <w:p>
            <w:r>
              <w:t>Observed practice</w:t>
            </w:r>
          </w:p>
        </w:tc>
        <w:tc>
          <w:tcPr>
            <w:tcW w:type="dxa" w:w="4260"/>
            <w:vAlign w:val="center"/>
          </w:tcPr>
          <w:p>
            <w:r>
              <w:t>Two-role sign-off recorded</w:t>
            </w:r>
          </w:p>
        </w:tc>
      </w:tr>
      <w:tr>
        <w:tc>
          <w:tcPr>
            <w:tcW w:type="dxa" w:w="2600"/>
            <w:vAlign w:val="center"/>
          </w:tcPr>
          <w:p>
            <w:r>
              <w:t>Release documentation</w:t>
            </w:r>
          </w:p>
        </w:tc>
        <w:tc>
          <w:tcPr>
            <w:tcW w:type="dxa" w:w="2500"/>
            <w:vAlign w:val="center"/>
          </w:tcPr>
          <w:p>
            <w:r>
              <w:t>Record review</w:t>
            </w:r>
          </w:p>
        </w:tc>
        <w:tc>
          <w:tcPr>
            <w:tcW w:type="dxa" w:w="4260"/>
            <w:vAlign w:val="center"/>
          </w:tcPr>
          <w:p>
            <w:r>
              <w:t>Correct evidence index selected</w:t>
            </w:r>
          </w:p>
        </w:tc>
      </w:tr>
    </w:tbl>
    <w:p/>
    <w:p>
      <w:pPr>
        <w:pStyle w:val="Heading1"/>
      </w:pPr>
      <w:r>
        <w:t>Communication control</w:t>
      </w:r>
    </w:p>
    <w:p>
      <w:r>
        <w:t>ForgeLine Quality Engineering publishes controlled instruction updates before the first monitored lot. This synthetic record contains no personal data or contact details.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Synthetic internal quality record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A5A5A"/>
        <w:sz w:val="18"/>
      </w:rPr>
      <w:t>ForgeLine | Product Beta | Controlled CAPA Record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