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/>
          <w:b/>
          <w:color w:val="1F4D78"/>
          <w:sz w:val="20"/>
        </w:rPr>
        <w:t>FORGELINE / QUALITY OPERATIONS</w:t>
      </w:r>
    </w:p>
    <w:p>
      <w:pPr>
        <w:spacing w:after="80"/>
      </w:pPr>
      <w:r>
        <w:rPr>
          <w:rFonts w:ascii="Calibri" w:hAnsi="Calibri"/>
          <w:b/>
          <w:color w:val="0B2545"/>
          <w:sz w:val="40"/>
        </w:rPr>
        <w:t>Nonconformance Control Procedure</w:t>
      </w:r>
    </w:p>
    <w:p>
      <w:pPr>
        <w:spacing w:after="160"/>
      </w:pPr>
      <w:r>
        <w:rPr>
          <w:rFonts w:ascii="Calibri" w:hAnsi="Calibri"/>
          <w:b w:val="0"/>
          <w:color w:val="555555"/>
          <w:sz w:val="19"/>
        </w:rPr>
        <w:t>Effective date: 2026-08-11 | Reference: NCR-026 | Controlled synthetic record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vAlign w:val="center"/>
            <w:shd w:fill="E8EEF5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9"/>
              </w:rPr>
              <w:t>Owner</w:t>
            </w:r>
          </w:p>
        </w:tc>
        <w:tc>
          <w:tcPr>
            <w:tcW w:type="dxa" w:w="2448"/>
            <w:vAlign w:val="center"/>
            <w:shd w:fill="E8EEF5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9"/>
              </w:rPr>
              <w:t>Applies to</w:t>
            </w:r>
          </w:p>
        </w:tc>
        <w:tc>
          <w:tcPr>
            <w:tcW w:type="dxa" w:w="2448"/>
            <w:vAlign w:val="center"/>
            <w:shd w:fill="E8EEF5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9"/>
              </w:rPr>
              <w:t>Tolerance</w:t>
            </w:r>
          </w:p>
        </w:tc>
        <w:tc>
          <w:tcPr>
            <w:tcW w:type="dxa" w:w="2448"/>
            <w:vAlign w:val="center"/>
            <w:shd w:fill="E8EEF5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9"/>
              </w:rPr>
              <w:t>Revision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9"/>
              </w:rPr>
              <w:t>Quality Engineering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9"/>
              </w:rPr>
              <w:t>Product Alpha and Product Beta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9"/>
              </w:rPr>
              <w:t>+/- 0.18 mm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9"/>
              </w:rPr>
              <w:t>Rev C</w:t>
            </w:r>
          </w:p>
        </w:tc>
      </w:tr>
    </w:tbl>
    <w:p>
      <w:pPr>
        <w:pStyle w:val="Heading1"/>
      </w:pPr>
      <w:r>
        <w:t>1. Purpose and scope</w:t>
      </w:r>
    </w:p>
    <w:p>
      <w:r>
        <w:t>This procedure defines the ForgeLine control method for identification, containment, disposition, and release of nonconforming material. It applies to Product Alpha and Product Beta activities completed on or after 2026-08-11. The acceptance boundary for the controlled dimensional characteristic is +/- 0.18 mm.</w:t>
      </w:r>
    </w:p>
    <w:p>
      <w:pPr>
        <w:pStyle w:val="Heading1"/>
      </w:pPr>
      <w:r>
        <w:t>2. Required controls</w:t>
      </w:r>
    </w:p>
    <w:p>
      <w:r>
        <w:t>The quality engineer maintains objective evidence, assigns a disposition where needed, and ensures NCR-026 actions remain traceable to the affected inspection or CAPA record.</w:t>
      </w:r>
    </w:p>
    <w:p>
      <w:pPr>
        <w:pStyle w:val="ListNumber"/>
        <w:spacing w:after="40"/>
      </w:pPr>
      <w:r>
        <w:t>Verify the current work instruction and the calibrated measurement method before release.</w:t>
      </w:r>
    </w:p>
    <w:p>
      <w:pPr>
        <w:pStyle w:val="ListNumber"/>
        <w:spacing w:after="40"/>
      </w:pPr>
      <w:r>
        <w:t>Record actual values, acceptance decision, reviewer, and timestamp in the controlled evidence set.</w:t>
      </w:r>
    </w:p>
    <w:p>
      <w:pPr>
        <w:pStyle w:val="ListNumber"/>
        <w:spacing w:after="40"/>
      </w:pPr>
      <w:r>
        <w:t>Escalate any out-of-tolerance result, incomplete evidence, or repeated trend through the NCR-026 workflow.</w:t>
      </w:r>
    </w:p>
    <w:p>
      <w:pPr>
        <w:pStyle w:val="Heading1"/>
      </w:pPr>
      <w:r>
        <w:t>3. Roles and decision points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E8EEF5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9"/>
              </w:rPr>
              <w:t>Role</w:t>
            </w:r>
          </w:p>
        </w:tc>
        <w:tc>
          <w:tcPr>
            <w:tcW w:type="dxa" w:w="3264"/>
            <w:vAlign w:val="center"/>
            <w:shd w:fill="E8EEF5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9"/>
              </w:rPr>
              <w:t>Accountability</w:t>
            </w:r>
          </w:p>
        </w:tc>
        <w:tc>
          <w:tcPr>
            <w:tcW w:type="dxa" w:w="3264"/>
            <w:vAlign w:val="center"/>
            <w:shd w:fill="E8EEF5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9"/>
              </w:rPr>
              <w:t>Evidence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9"/>
              </w:rPr>
              <w:t>Quality engineer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9"/>
              </w:rPr>
              <w:t>Reviews evidence and disposition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9"/>
              </w:rPr>
              <w:t>Reviewed record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9"/>
              </w:rPr>
              <w:t>Manufacturing lead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9"/>
              </w:rPr>
              <w:t>Executes containment and correction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9"/>
              </w:rPr>
              <w:t>Shift confirmation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9"/>
              </w:rPr>
              <w:t>CAPA owner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9"/>
              </w:rPr>
              <w:t>Verifies effectiveness and closure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9"/>
              </w:rPr>
              <w:t>Closure decision</w:t>
            </w:r>
          </w:p>
        </w:tc>
      </w:tr>
    </w:tbl>
    <w:p>
      <w:pPr>
        <w:pStyle w:val="Heading1"/>
      </w:pPr>
      <w:r>
        <w:t>4. Records and retention</w:t>
      </w:r>
    </w:p>
    <w:p>
      <w:r>
        <w:t>Retain the signed controlled record, supporting measurement evidence, and any NCR-026 linkage in the ForgeLine quality repository. Revision history must identify the changed control and approving role.</w:t>
      </w:r>
    </w:p>
    <w:p>
      <w:pPr>
        <w:pStyle w:val="ListNumber"/>
        <w:spacing w:after="40"/>
      </w:pPr>
      <w:r>
        <w:t>Use the current revision only; obsolete copies are reference-only.</w:t>
      </w:r>
    </w:p>
    <w:p>
      <w:pPr>
        <w:pStyle w:val="ListNumber"/>
        <w:spacing w:after="40"/>
      </w:pPr>
      <w:r>
        <w:t>Preserve the Product Alpha or Product Beta identifier with each evidence item.</w:t>
      </w:r>
    </w:p>
    <w:p>
      <w:pPr>
        <w:pStyle w:val="ListNumber"/>
        <w:spacing w:after="40"/>
      </w:pPr>
      <w:r>
        <w:t>Complete a quarterly record completeness review.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224" w:bottom="1123" w:left="122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666666"/>
        <w:sz w:val="18"/>
      </w:rPr>
      <w:t>FL-QA-SOP-018 | ForgeLine synthetic training record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color w:val="666666"/>
        <w:sz w:val="18"/>
      </w:rPr>
      <w:t>ForgeLine Quality System | Controlled SOP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