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83B5B"/>
          <w:sz w:val="40"/>
        </w:rPr>
        <w:t>Supplier Corrective Action Request</w:t>
      </w:r>
    </w:p>
    <w:p>
      <w:pPr>
        <w:spacing w:after="280"/>
      </w:pPr>
      <w:r>
        <w:rPr>
          <w:rFonts w:ascii="Calibri" w:hAnsi="Calibri"/>
          <w:b w:val="0"/>
          <w:color w:val="52616B"/>
          <w:sz w:val="20"/>
        </w:rPr>
        <w:t>ForgeLine quality system | Product Alpha supplier audit follow-up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E8EEF5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CAR reference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Calibri" w:hAnsi="Calibri"/>
                <w:b w:val="0"/>
                <w:color w:val="202020"/>
                <w:sz w:val="20"/>
              </w:rPr>
              <w:t>FL-SCAR-NCR-026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Audit date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Calibri" w:hAnsi="Calibri"/>
                <w:b w:val="0"/>
                <w:color w:val="202020"/>
                <w:sz w:val="20"/>
              </w:rPr>
              <w:t>2026-08-11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Product / feature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Calibri" w:hAnsi="Calibri"/>
                <w:b w:val="0"/>
                <w:color w:val="202020"/>
                <w:sz w:val="20"/>
              </w:rPr>
              <w:t>Product Alpha / dimensional control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Acceptance criterion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Calibri" w:hAnsi="Calibri"/>
                <w:b w:val="0"/>
                <w:color w:val="202020"/>
                <w:sz w:val="20"/>
              </w:rPr>
              <w:t>Tolerance +/-0.18 mm</w:t>
            </w:r>
          </w:p>
        </w:tc>
      </w:tr>
      <w:tr>
        <w:tc>
          <w:tcPr>
            <w:tcW w:type="dxa" w:w="2376"/>
            <w:vAlign w:val="center"/>
            <w:shd w:fill="E8EEF5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Required response</w:t>
            </w:r>
          </w:p>
        </w:tc>
        <w:tc>
          <w:tcPr>
            <w:tcW w:type="dxa" w:w="6984"/>
            <w:vAlign w:val="center"/>
          </w:tcPr>
          <w:p>
            <w:r>
              <w:rPr>
                <w:rFonts w:ascii="Calibri" w:hAnsi="Calibri"/>
                <w:b w:val="0"/>
                <w:color w:val="202020"/>
                <w:sz w:val="20"/>
              </w:rPr>
              <w:t>Containment, cause, correction, effectiveness evidence</w:t>
            </w:r>
          </w:p>
        </w:tc>
      </w:tr>
    </w:tbl>
    <w:p>
      <w:pPr>
        <w:pStyle w:val="Heading1"/>
      </w:pPr>
      <w:r>
        <w:t>Observed condition</w:t>
      </w:r>
    </w:p>
    <w:p>
      <w:r>
        <w:t>A synthetic audit review found that the documented verification sequence did not clearly retain the measurement confirmation associated with NCR-026. No production release decision is represented by this training record.</w:t>
      </w:r>
    </w:p>
    <w:p>
      <w:pPr>
        <w:pStyle w:val="Heading1"/>
      </w:pPr>
      <w:r>
        <w:t>Requested corrective action</w:t>
      </w:r>
    </w:p>
    <w:p>
      <w:pPr>
        <w:pStyle w:val="ListBullet"/>
      </w:pPr>
      <w:r>
        <w:t>Establish immediate containment for the affected verification route.</w:t>
      </w:r>
    </w:p>
    <w:p>
      <w:pPr>
        <w:pStyle w:val="ListBullet"/>
      </w:pPr>
      <w:r>
        <w:t>Document a cause analysis that distinguishes detection from occurrence controls.</w:t>
      </w:r>
    </w:p>
    <w:p>
      <w:pPr>
        <w:pStyle w:val="ListBullet"/>
      </w:pPr>
      <w:r>
        <w:t>Update the control step to show the +/-0.18 mm acceptance criterion.</w:t>
      </w:r>
    </w:p>
    <w:p>
      <w:pPr>
        <w:pStyle w:val="ListBullet"/>
      </w:pPr>
      <w:r>
        <w:t>Provide effectiveness evidence after one planned review cycle.</w:t>
      </w:r>
    </w:p>
    <w:p>
      <w:pPr>
        <w:pStyle w:val="Heading1"/>
      </w:pPr>
      <w:r>
        <w:t>Response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2F4F7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Action owner</w:t>
            </w:r>
          </w:p>
        </w:tc>
        <w:tc>
          <w:tcPr>
            <w:tcW w:type="dxa" w:w="3312"/>
            <w:shd w:fill="F2F4F7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Due date</w:t>
            </w:r>
          </w:p>
        </w:tc>
        <w:tc>
          <w:tcPr>
            <w:tcW w:type="dxa" w:w="3312"/>
            <w:shd w:fill="F2F4F7"/>
          </w:tcPr>
          <w:p>
            <w:r>
              <w:rPr>
                <w:rFonts w:ascii="Calibri" w:hAnsi="Calibri"/>
                <w:b/>
                <w:color w:val="183B5B"/>
                <w:sz w:val="20"/>
              </w:rPr>
              <w:t>Evidence expected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Supplier quality lead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2026-08-18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Containment confirmation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ForgeLine reviewer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2026-08-21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Effectiveness review note</w:t>
            </w:r>
          </w:p>
        </w:tc>
      </w:tr>
    </w:tbl>
    <w:p>
      <w:pPr>
        <w:pStyle w:val="Caption"/>
      </w:pPr>
      <w:r>
        <w:t>This document is a wholly synthetic quality-engineering artifact. It contains no real supplier, personnel, or production record.</w:t>
      </w: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