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rPr>
          <w:color w:val="1F4E79"/>
        </w:rPr>
        <w:t>Product Beta R4 Reference Brief</w:t>
      </w:r>
    </w:p>
    <w:p>
      <w:r>
        <w:rPr>
          <w:sz w:val="18"/>
        </w:rPr>
        <w:t>Reference REF-26Q3-005088 | Canonical source p01-src-005088 | Reviewed 2026-07-20</w:t>
      </w:r>
    </w:p>
    <w:p>
      <w:pPr>
        <w:pStyle w:val="Heading2"/>
      </w:pPr>
      <w:r>
        <w:t>Purpose and provenance</w:t>
      </w:r>
    </w:p>
    <w:p>
      <w:r>
        <w:t>This stable Aster Loop synthetic engineering reference copy preserves the reviewed context for Beta R4 compatibility review. It is derived from the accepted same-scope reference dataset and is intended for internal comparison, not operational control.</w:t>
      </w:r>
    </w:p>
    <w:p>
      <w:pPr>
        <w:pStyle w:val="Heading2"/>
      </w:pPr>
      <w:r>
        <w:t>Reference controls</w:t>
      </w:r>
    </w:p>
    <w:p>
      <w:pPr>
        <w:pStyle w:val="ListBullet"/>
      </w:pPr>
      <w:r>
        <w:t>Use approved terminology: release gate, approval boundary, reviewed reference snapshot.</w:t>
      </w:r>
    </w:p>
    <w:p>
      <w:pPr>
        <w:pStyle w:val="ListBullet"/>
      </w:pPr>
      <w:r>
        <w:t>Preserve distinctions among planned, reviewed, approved, released, and closed states.</w:t>
      </w:r>
    </w:p>
    <w:p>
      <w:pPr>
        <w:pStyle w:val="ListBullet"/>
      </w:pPr>
      <w:r>
        <w:t>Retain units: Alpha observed p95 is 184 ms; Beta design budget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t>Field</w:t>
            </w:r>
          </w:p>
        </w:tc>
        <w:tc>
          <w:tcPr>
            <w:tcW w:type="dxa" w:w="4824"/>
          </w:tcPr>
          <w:p>
            <w:r>
              <w:t>Reference value</w:t>
            </w:r>
          </w:p>
        </w:tc>
      </w:tr>
      <w:tr>
        <w:tc>
          <w:tcPr>
            <w:tcW w:type="dxa" w:w="4824"/>
          </w:tcPr>
          <w:p>
            <w:r>
              <w:t>Subject</w:t>
            </w:r>
          </w:p>
        </w:tc>
        <w:tc>
          <w:tcPr>
            <w:tcW w:type="dxa" w:w="4824"/>
          </w:tcPr>
          <w:p>
            <w:r>
              <w:t>Product Beta R4</w:t>
            </w:r>
          </w:p>
        </w:tc>
      </w:tr>
      <w:tr>
        <w:tc>
          <w:tcPr>
            <w:tcW w:type="dxa" w:w="4824"/>
          </w:tcPr>
          <w:p>
            <w:r>
              <w:t>Anchor</w:t>
            </w:r>
          </w:p>
        </w:tc>
        <w:tc>
          <w:tcPr>
            <w:tcW w:type="dxa" w:w="4824"/>
          </w:tcPr>
          <w:p>
            <w:r>
              <w:t>Beta R4 compatibility review</w:t>
            </w:r>
          </w:p>
        </w:tc>
      </w:tr>
      <w:tr>
        <w:tc>
          <w:tcPr>
            <w:tcW w:type="dxa" w:w="4824"/>
          </w:tcPr>
          <w:p>
            <w:r>
              <w:t>Review date</w:t>
            </w:r>
          </w:p>
        </w:tc>
        <w:tc>
          <w:tcPr>
            <w:tcW w:type="dxa" w:w="4824"/>
          </w:tcPr>
          <w:p>
            <w:r>
              <w:t>2026-07-20</w:t>
            </w:r>
          </w:p>
        </w:tc>
      </w:tr>
      <w:tr>
        <w:tc>
          <w:tcPr>
            <w:tcW w:type="dxa" w:w="4824"/>
          </w:tcPr>
          <w:p>
            <w:r>
              <w:t>Status</w:t>
            </w:r>
          </w:p>
        </w:tc>
        <w:tc>
          <w:tcPr>
            <w:tcW w:type="dxa" w:w="4824"/>
          </w:tcPr>
          <w:p>
            <w:r>
              <w:t>Reviewed reference snapshot</w:t>
            </w:r>
          </w:p>
        </w:tc>
      </w:tr>
    </w:tbl>
    <w:p>
      <w:r>
        <w:rPr>
          <w:i/>
        </w:rPr>
        <w:t>Synthetic content only. No credentials, customer records, or personal contact data are included.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