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36"/>
        </w:rPr>
        <w:t>API-A7-9185 API Contract Assurance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4F6475"/>
          <w:sz w:val="20"/>
        </w:rPr>
        <w:t>Technical memo | reviewed synthetic evidence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Artifact: </w:t>
      </w:r>
      <w:r>
        <w:rPr>
          <w:rFonts w:ascii="Calibri" w:hAnsi="Calibri"/>
          <w:sz w:val="20"/>
        </w:rPr>
        <w:t>p01-full-009185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Source: </w:t>
      </w:r>
      <w:r>
        <w:rPr>
          <w:rFonts w:ascii="Calibri" w:hAnsi="Calibri"/>
          <w:sz w:val="20"/>
        </w:rPr>
        <w:t>p01-src-009185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Dependency: </w:t>
      </w:r>
      <w:r>
        <w:rPr>
          <w:rFonts w:ascii="Calibri" w:hAnsi="Calibri"/>
          <w:sz w:val="20"/>
        </w:rPr>
        <w:t>p01-full-003434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Review date: </w:t>
      </w:r>
      <w:r>
        <w:rPr>
          <w:rFonts w:ascii="Calibri" w:hAnsi="Calibri"/>
          <w:sz w:val="20"/>
        </w:rPr>
        <w:t>2026-07-20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Target and reference: </w:t>
      </w:r>
      <w:r>
        <w:rPr>
          <w:rFonts w:ascii="Calibri" w:hAnsi="Calibri"/>
          <w:sz w:val="20"/>
        </w:rPr>
        <w:t>200 ms p95 target; 184 ms accepted release-gate reference</w:t>
      </w:r>
    </w:p>
    <w:p>
      <w:pPr>
        <w:spacing w:before="240" w:after="100" w:line="264" w:lineRule="auto"/>
      </w:pPr>
      <w:r>
        <w:rPr>
          <w:rFonts w:ascii="Calibri" w:hAnsi="Calibri"/>
          <w:b/>
          <w:color w:val="2E74B5"/>
          <w:sz w:val="26"/>
        </w:rPr>
        <w:t>Purpose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This one-page memo records the reviewed decision record contract for Product Alpha R7. Contract API-A7-9185 is linked to source p01-src-009185; dependency p01-full-003434 supplies the scope-local engineering evidence.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Compatibility decision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 interface follows additive-before-removal compatibility. ADR-042 retains the asynchronous release gate. The 200 ms p95 figure is a target, while 184 ms is the accepted shared reference rather than an endpoint measurement.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Review outcome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API-A7-9185 is reviewed on 2026-07-20. This Aster Loop record is fully synthetic and contains no credentials, personal information, customer data, or production addresses.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F6475"/>
        <w:sz w:val="16"/>
      </w:rPr>
      <w:t>Synthetic internal record 03/12 | p01-primary-02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F6475"/>
        <w:sz w:val="16"/>
      </w:rPr>
      <w:t>Aster Loop | Product Alpha R7 | API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API-A7-9185 API Contract Assurance</dc:title>
  <dc:subject/>
  <dc:creator>Aster Loop Product Engineering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