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Architecture decision brief - p01-src-007618</w:t>
      </w:r>
    </w:p>
    <w:p>
      <w:r>
        <w:t>Aster Loop | Product Alpha R7 | Architecture evidence</w:t>
      </w:r>
    </w:p>
    <w:p>
      <w:r>
        <w:t>Artifact ID: p01-full-007618</w:t>
        <w:br/>
        <w:t>Dependency record: p01-full-003476</w:t>
        <w:br/>
        <w:t>Evidence date: 2026-07-13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Control</w:t>
            </w:r>
          </w:p>
        </w:tc>
        <w:tc>
          <w:tcPr>
            <w:tcW w:type="dxa" w:w="4680"/>
          </w:tcPr>
          <w:p>
            <w:r>
              <w:t>Evidence</w:t>
            </w:r>
          </w:p>
        </w:tc>
      </w:tr>
      <w:tr>
        <w:tc>
          <w:tcPr>
            <w:tcW w:type="dxa" w:w="4680"/>
          </w:tcPr>
          <w:p>
            <w:r>
              <w:t>Decision</w:t>
            </w:r>
          </w:p>
        </w:tc>
        <w:tc>
          <w:tcPr>
            <w:tcW w:type="dxa" w:w="4680"/>
          </w:tcPr>
          <w:p>
            <w:r>
              <w:t>ADR-042 keeps the asynchronous release gate</w:t>
            </w:r>
          </w:p>
        </w:tc>
      </w:tr>
      <w:tr>
        <w:tc>
          <w:tcPr>
            <w:tcW w:type="dxa" w:w="4680"/>
          </w:tcPr>
          <w:p>
            <w:r>
              <w:t>Approval boundary</w:t>
            </w:r>
          </w:p>
        </w:tc>
        <w:tc>
          <w:tcPr>
            <w:tcW w:type="dxa" w:w="4680"/>
          </w:tcPr>
          <w:p>
            <w:r>
              <w:t>Release Coordinator to Decision Store</w:t>
            </w:r>
          </w:p>
        </w:tc>
      </w:tr>
      <w:tr>
        <w:tc>
          <w:tcPr>
            <w:tcW w:type="dxa" w:w="4680"/>
          </w:tcPr>
          <w:p>
            <w:r>
              <w:t>Observed p95</w:t>
            </w:r>
          </w:p>
        </w:tc>
        <w:tc>
          <w:tcPr>
            <w:tcW w:type="dxa" w:w="4680"/>
          </w:tcPr>
          <w:p>
            <w:r>
              <w:t>184 ms</w:t>
            </w:r>
          </w:p>
        </w:tc>
      </w:tr>
      <w:tr>
        <w:tc>
          <w:tcPr>
            <w:tcW w:type="dxa" w:w="4680"/>
          </w:tcPr>
          <w:p>
            <w:r>
              <w:t>SLO ceiling</w:t>
            </w:r>
          </w:p>
        </w:tc>
        <w:tc>
          <w:tcPr>
            <w:tcW w:type="dxa" w:w="4680"/>
          </w:tcPr>
          <w:p>
            <w:r>
              <w:t>200 ms</w:t>
            </w:r>
          </w:p>
        </w:tc>
      </w:tr>
    </w:tbl>
    <w:p>
      <w:r>
        <w:t>Synthetic engineering evidence for source p01-src-007618 uses dependency p01-full-003476. Event Bus delivery follows the gate decision and Observability confirmation closes the measured path.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