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4B5"/>
        </w:rPr>
        <w:t>Engineering mail review brief 2</w:t>
      </w:r>
    </w:p>
    <w:p>
      <w:r>
        <w:rPr>
          <w:i/>
        </w:rPr>
        <w:t>Synthetic role-to-role attachment | Product Beta R4 | reviewed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t>Message</w:t>
            </w:r>
          </w:p>
        </w:tc>
        <w:tc>
          <w:tcPr>
            <w:tcW w:type="dxa" w:w="4680"/>
            <w:vAlign w:val="center"/>
          </w:tcPr>
          <w:p>
            <w:r>
              <w:t>MSG-2026Q3-004151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t>Source record</w:t>
            </w:r>
          </w:p>
        </w:tc>
        <w:tc>
          <w:tcPr>
            <w:tcW w:type="dxa" w:w="4680"/>
            <w:vAlign w:val="center"/>
          </w:tcPr>
          <w:p>
            <w:r>
              <w:t>p01-full-001677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t>Design budget</w:t>
            </w:r>
          </w:p>
        </w:tc>
        <w:tc>
          <w:tcPr>
            <w:tcW w:type="dxa" w:w="4680"/>
            <w:vAlign w:val="center"/>
          </w:tcPr>
          <w:p>
            <w:r>
              <w:t>225 ms (planned Beta R4 budget)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t>Contract reconciliation</w:t>
            </w:r>
          </w:p>
        </w:tc>
        <w:tc>
          <w:tcPr>
            <w:tcW w:type="dxa" w:w="4680"/>
            <w:vAlign w:val="center"/>
          </w:tcPr>
          <w:p>
            <w:r>
              <w:t>1,240 total; 1,231 pass; 9 fail</w:t>
            </w:r>
          </w:p>
        </w:tc>
      </w:tr>
    </w:tbl>
    <w:p>
      <w:pPr>
        <w:pStyle w:val="Heading1"/>
      </w:pPr>
      <w:r>
        <w:t>Review conclusion</w:t>
      </w:r>
    </w:p>
    <w:p>
      <w:r>
        <w:t>The mail attachment keeps the Beta R4 design budget separate from the observed Alpha R7 latency. The API Steward and Decision Owner retain the recorded review boundary.</w:t>
      </w:r>
    </w:p>
    <w:p>
      <w:pPr>
        <w:pStyle w:val="Heading2"/>
      </w:pPr>
      <w:r>
        <w:t>Requested follow-up</w:t>
      </w:r>
    </w:p>
    <w:p>
      <w:r>
        <w:t>The recipient confirms evidence ownership, preserves the message identifier, and routes any schema exception through the next reviewed decision record.</w:t>
      </w:r>
    </w:p>
    <w:p>
      <w:r>
        <w:t>Synthetic internal engineering material; no customer or production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