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0B2545"/>
          <w:sz w:val="44"/>
        </w:rPr>
        <w:t>ADR-022 decision memo</w:t>
      </w:r>
    </w:p>
    <w:p>
      <w:r>
        <w:rPr>
          <w:i/>
        </w:rPr>
        <w:t>Aster Loop株式会社 · Product Engineering · synthetic decision lifecycle record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p01-src-006787</w:t>
            </w:r>
          </w:p>
        </w:tc>
      </w:tr>
      <w:tr>
        <w:tc>
          <w:tcPr>
            <w:tcW w:type="dxa" w:w="4680"/>
            <w:vAlign w:val="center"/>
          </w:tcPr>
          <w:p>
            <w:r>
              <w:t>Product</w:t>
            </w:r>
          </w:p>
        </w:tc>
        <w:tc>
          <w:tcPr>
            <w:tcW w:type="dxa" w:w="4680"/>
            <w:vAlign w:val="center"/>
          </w:tcPr>
          <w:p>
            <w:r>
              <w:t>Product Alpha R7</w:t>
            </w:r>
          </w:p>
        </w:tc>
      </w:tr>
      <w:tr>
        <w:tc>
          <w:tcPr>
            <w:tcW w:type="dxa" w:w="4680"/>
            <w:vAlign w:val="center"/>
          </w:tcPr>
          <w:p>
            <w: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4680"/>
            <w:vAlign w:val="center"/>
          </w:tcPr>
          <w:p>
            <w:r>
              <w:t>Service</w:t>
            </w:r>
          </w:p>
        </w:tc>
        <w:tc>
          <w:tcPr>
            <w:tcW w:type="dxa" w:w="4680"/>
            <w:vAlign w:val="center"/>
          </w:tcPr>
          <w:p>
            <w:r>
              <w:t>svc-release-coordinator</w:t>
            </w:r>
          </w:p>
        </w:tc>
      </w:tr>
      <w:tr>
        <w:tc>
          <w:tcPr>
            <w:tcW w:type="dxa" w:w="4680"/>
            <w:vAlign w:val="center"/>
          </w:tcPr>
          <w:p>
            <w:r>
              <w:t>Lifecycle state</w:t>
            </w:r>
          </w:p>
        </w:tc>
        <w:tc>
          <w:tcPr>
            <w:tcW w:type="dxa" w:w="4680"/>
            <w:vAlign w:val="center"/>
          </w:tcPr>
          <w:p>
            <w:r>
              <w:t>reviewed</w:t>
            </w:r>
          </w:p>
        </w:tc>
      </w:tr>
    </w:tbl>
    <w:p>
      <w:pPr>
        <w:pStyle w:val="Heading1"/>
      </w:pPr>
      <w:r>
        <w:t>Decision</w:t>
      </w:r>
    </w:p>
    <w:p>
      <w:r>
        <w:t>Adopt a bounded, role-owned lifecycle control that keeps the asynchronous release gate reviewable.</w:t>
      </w:r>
    </w:p>
    <w:p>
      <w:pPr>
        <w:pStyle w:val="Heading1"/>
      </w:pPr>
      <w:r>
        <w:t>Context</w:t>
      </w:r>
    </w:p>
    <w:p>
      <w:r>
        <w:t>svc-release-coordinator contributes evidence to the ADR-042 approval boundary between Release Coordinator and Decision Store. Product Alpha evidence remains 184 ms p95 against a 200 ms ceiling; Product Beta uses a 225 ms design budget.</w:t>
      </w:r>
    </w:p>
    <w:p>
      <w:pPr>
        <w:pStyle w:val="Heading1"/>
      </w:pPr>
      <w:r>
        <w:t>Review criteria</w:t>
      </w:r>
    </w:p>
    <w:p>
      <w:r>
        <w:t>Confirm compatibility evidence, replay behavior, and the controlled rollback drill before changing state.</w:t>
      </w:r>
    </w:p>
    <w:p>
      <w:pPr>
        <w:pStyle w:val="Heading1"/>
      </w:pPr>
      <w:r>
        <w:t>Consequence</w:t>
      </w:r>
    </w:p>
    <w:p>
      <w:r>
        <w:t>The decision record remains synthetic, contains no individual contact details, and gives reviewers an auditable rationale.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