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Hiragino Sans" w:hAnsi="Hiragino Sans" w:eastAsia="Hiragino Sans"/>
          <w:b/>
          <w:i w:val="0"/>
          <w:color w:val="0B2545"/>
          <w:sz w:val="44"/>
        </w:rPr>
        <w:t>SECURITY INCIDENT REPORT</w:t>
      </w:r>
    </w:p>
    <w:p>
      <w:pPr>
        <w:spacing w:after="240"/>
      </w:pPr>
      <w:r>
        <w:rPr>
          <w:rFonts w:ascii="Hiragino Sans" w:hAnsi="Hiragino Sans" w:eastAsia="Hiragino Sans"/>
          <w:b w:val="0"/>
          <w:i w:val="0"/>
          <w:color w:val="4B5563"/>
          <w:sz w:val="26"/>
        </w:rPr>
        <w:t>Quarterly security incident governance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Case ID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Q2-2026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Date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2026-06-30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Severity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Informational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Status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Quarterly review complete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Control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AC-27 Evidence Handling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Evidence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Q2 evidence index</w:t>
            </w:r>
          </w:p>
        </w:tc>
      </w:tr>
    </w:tbl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Executive summary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Q2 governance review aggregated nine contained observations across evidence handling, exports, vendor attestation, reporting coverage, routing, access, receipt timing, ownership, and retention. Four were routing or ownership issues, three were evidence-classification or reporting issues, and two were calendar-timing issues.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20"/>
              </w:rPr>
              <w:t xml:space="preserve">Disposition / 判断: </w:t>
            </w: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20"/>
              </w:rPr>
              <w:t>Contained governance observation. No live investigation, production change, or external disclosure was performed.</w:t>
            </w:r>
          </w:p>
        </w:tc>
      </w:tr>
    </w:tbl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Scope and handling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This fictional quarterly summary consolidates governance observations that were contained, reviewed, and closed through the Security &amp; GRC workflow.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Fact timeline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2026-06-30: Confirmed closure evidence, sampled corrective actions, and scheduled the next assurance review.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Contributing factor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Trend analysis showed change-management handoffs as the common contributing theme rather than a shared technical cause.</w:t>
      </w:r>
    </w:p>
    <w:p>
      <w:r>
        <w:br w:type="page"/>
      </w:r>
    </w:p>
    <w:p>
      <w:pPr>
        <w:pStyle w:val="Heading1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Analysis and corrective action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Review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600"/>
        <w:gridCol w:w="4700"/>
        <w:gridCol w:w="20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8"/>
              </w:rPr>
              <w:t>Checkpoint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8"/>
              </w:rPr>
              <w:t>Outcome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8"/>
              </w:rPr>
              <w:t>Owner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Intake triage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Classified as a governance-control variance; scope bounded.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GRC Analyst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Containment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The quarterly committee prioritized owner-transition checks, workflow predecessor tests, and policy-map version controls; each linked case retained its own closure evidence.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Security Governance Chair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Preventive action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Track the three cross-cutting actions in the Q3 assurance dashboard and sample two closed cases per action.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Assurance Reviewer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Due date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2026-07-31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Accountable owner</w:t>
            </w:r>
          </w:p>
        </w:tc>
      </w:tr>
    </w:tbl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Corrective actions</w:t>
      </w:r>
    </w:p>
    <w:p>
      <w:pPr>
        <w:spacing w:after="100"/>
        <w:ind w:left="360" w:hanging="259"/>
      </w:pPr>
      <w:r>
        <w:rPr>
          <w:rFonts w:ascii="Hiragino Sans" w:hAnsi="Hiragino Sans" w:eastAsia="Hiragino Sans"/>
          <w:b w:val="0"/>
          <w:i w:val="0"/>
          <w:color w:val="1F2937"/>
          <w:sz w:val="20"/>
        </w:rPr>
        <w:t>• The quarterly committee prioritized owner-transition checks, workflow predecessor tests, and policy-map version controls; each linked case retained its own closure evidence.</w:t>
      </w:r>
    </w:p>
    <w:p>
      <w:pPr>
        <w:spacing w:after="100"/>
        <w:ind w:left="360" w:hanging="259"/>
      </w:pPr>
      <w:r>
        <w:rPr>
          <w:rFonts w:ascii="Hiragino Sans" w:hAnsi="Hiragino Sans" w:eastAsia="Hiragino Sans"/>
          <w:b w:val="0"/>
          <w:i w:val="0"/>
          <w:color w:val="1F2937"/>
          <w:sz w:val="20"/>
        </w:rPr>
        <w:t>• Track the three cross-cutting actions in the Q3 assurance dashboard and sample two closed cases per action.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Closure statement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Closure rests on committee review minutes, metric baseline, named owners, and an approved Q3 follow-up plan. Residual risk: aggregated reporting can hide case-level nuance; linked records remain authoritative. This fictional record is limited to defensive audit and control-assurance work.</w:t>
      </w:r>
    </w:p>
    <w:p>
      <w:pPr>
        <w:spacing w:before="0" w:after="0" w:line="264" w:lineRule="auto"/>
      </w:pPr>
      <w:r>
        <w:rPr>
          <w:rFonts w:ascii="Hiragino Sans" w:hAnsi="Hiragino Sans" w:eastAsia="Hiragino Sans"/>
          <w:b w:val="0"/>
          <w:i/>
          <w:color w:val="5B6573"/>
          <w:sz w:val="17"/>
        </w:rPr>
        <w:t>Anchor record: Cobalt Harbor; quarterly assurance; fictional defensive summary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" w:hAnsi="Hiragino Sans" w:eastAsia="Hiragino Sans"/>
        <w:b w:val="0"/>
        <w:i w:val="0"/>
        <w:color w:val="5B6573"/>
        <w:sz w:val="16"/>
      </w:rPr>
      <w:t>Internal fictional governance record | ja-JP / 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iragino Sans" w:hAnsi="Hiragino Sans" w:eastAsia="Hiragino Sans"/>
        <w:b w:val="0"/>
        <w:i w:val="0"/>
        <w:color w:val="5B6573"/>
        <w:sz w:val="17"/>
      </w:rPr>
      <w:t>Cobalt Harbor Systems | Security &amp; GRC | Q2-2026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Hiragino Sans" w:hAnsi="Hiragino Sans" w:eastAsia="Hiragino Sans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Hiragino Sans" w:hAnsi="Hiragino Sans" w:eastAsia="Hiragino San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Hiragino Sans" w:hAnsi="Hiragino Sans" w:eastAsia="Hiragino San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Hiragino Sans" w:hAnsi="Hiragino Sans" w:eastAsia="Hiragino San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