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Retention label alignment mismatch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INC-260117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2026-01-17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Moderate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after label reconciliation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AC-21 Retention Verification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retention sample 117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retention verification sample displayed a label that differed from the approved policy mapping. There was no deletion, external sharing, or collection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controlled sample displayed a retention label that differed from the approved policy mapping. No deletion or external sharing occurred.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2026-01-17: Compared the mapping to the policy register, corrected the label, and preserved the pre-correction evidence.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policy-map version was copied into the sample list before the approved revision date.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records coordinator corrected the sample label, preserved the original record, and compared the mapping revision history.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Records Coordinator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Match sample labels to the policy-map version before each quarterly verification.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2026-01-24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records coordinator corrected the sample label, preserved the original record, and compared the mapping revision history.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Match sample labels to the policy-map version before each quarterly verification.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preserved pre-correction evidence, approved map comparison, and reviewer sign-off. Residual risk: manually assembled samples may use stale map exports.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retention assurance; no data loss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INC-260117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