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Managed endpoint evidence receipt delay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INC-260327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2026-03-27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Low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after receipt reconciliation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AC-07 Endpoint Assurance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receipt batch 327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managed-endpoint assurance summary arrived after the governance checkpoint because a fictional collection job completed late. The delayed report did not change endpoint posture.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scheduled endpoint compliance summary arrived after the expected governance checkpoint. The delay affected reporting timeliness only.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2026-03-27: Reconciled receipt timestamps, verified the source snapshot, and updated the escalation calendar.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The reporting calendar did not include the collection grace period.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endpoint assurance owner reconciled receipt timestamps, preserved the source snapshot, and adjusted the escalation threshold.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Endpoint Assurance 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Measure on-time receipt against the revised threshold for two reporting cycles.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2026-04-03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endpoint assurance owner reconciled receipt timestamps, preserved the source snapshot, and adjusted the escalation threshold.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Measure on-time receipt against the revised threshold for two reporting cycles.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verified source timestamp, complete summary receipt, and calendar update approval. Residual risk: exceptional maintenance windows may extend collection time.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managed-device assurance; no endpoint action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INC-260327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