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Hiragino Sans" w:hAnsi="Hiragino Sans" w:eastAsia="Hiragino Sans"/>
          <w:b/>
          <w:i w:val="0"/>
          <w:color w:val="0B2545"/>
          <w:sz w:val="44"/>
        </w:rPr>
        <w:t>SECURITY INCIDENT REPORT</w:t>
      </w:r>
    </w:p>
    <w:p>
      <w:pPr>
        <w:spacing w:after="240"/>
      </w:pPr>
      <w:r>
        <w:rPr>
          <w:rFonts w:ascii="Hiragino Sans" w:hAnsi="Hiragino Sans" w:eastAsia="Hiragino Sans"/>
          <w:b w:val="0"/>
          <w:i w:val="0"/>
          <w:color w:val="4B5563"/>
          <w:sz w:val="26"/>
        </w:rPr>
        <w:t>Audit library permission drift review</w:t>
      </w:r>
    </w:p>
    <w:tbl>
      <w:tblPr>
        <w:tblStyle w:val="TableGrid"/>
        <w:tblW w:type="auto" w:w="0"/>
        <w:tblLook w:firstColumn="1" w:firstRow="1" w:lastColumn="0" w:lastRow="0" w:noHBand="0" w:noVBand="1" w:val="04A0"/>
        <w:tblW w:w="9360" w:type="dxa"/>
        <w:tblInd w:w="120" w:type="dxa"/>
        <w:tblLayout w:type="fixed"/>
      </w:tblPr>
      <w:tblGrid>
        <w:gridCol w:w="2700"/>
        <w:gridCol w:w="6660"/>
      </w:tblGrid>
      <w:tr>
        <w:tc>
          <w:tcPr>
            <w:tcW w:type="dxa" w:w="2700"/>
            <w:shd w:fill="F2F4F7"/>
          </w:tcPr>
          <w:p>
            <w:pPr>
              <w:spacing w:after="0"/>
            </w:pPr>
            <w:r>
              <w:rPr>
                <w:rFonts w:ascii="Hiragino Sans" w:hAnsi="Hiragino Sans" w:eastAsia="Hiragino Sans"/>
                <w:b/>
                <w:i w:val="0"/>
                <w:color w:val="1F4D78"/>
                <w:sz w:val="19"/>
              </w:rPr>
              <w:t>Case ID</w:t>
            </w:r>
          </w:p>
        </w:tc>
        <w:tc>
          <w:tcPr>
            <w:tcW w:type="dxa" w:w="6660"/>
          </w:tcPr>
          <w:p>
            <w:pPr>
              <w:spacing w:after="0"/>
            </w:pPr>
            <w:r>
              <w:rPr>
                <w:rFonts w:ascii="Hiragino Sans" w:hAnsi="Hiragino Sans" w:eastAsia="Hiragino Sans"/>
                <w:b w:val="0"/>
                <w:i w:val="0"/>
                <w:color w:val="1F2937"/>
                <w:sz w:val="19"/>
              </w:rPr>
              <w:t>INC-260418</w:t>
            </w:r>
          </w:p>
        </w:tc>
      </w:tr>
      <w:tr>
        <w:tc>
          <w:tcPr>
            <w:tcW w:type="dxa" w:w="2700"/>
            <w:shd w:fill="F2F4F7"/>
          </w:tcPr>
          <w:p>
            <w:pPr>
              <w:spacing w:after="0"/>
            </w:pPr>
            <w:r>
              <w:rPr>
                <w:rFonts w:ascii="Hiragino Sans" w:hAnsi="Hiragino Sans" w:eastAsia="Hiragino Sans"/>
                <w:b/>
                <w:i w:val="0"/>
                <w:color w:val="1F4D78"/>
                <w:sz w:val="19"/>
              </w:rPr>
              <w:t>Date</w:t>
            </w:r>
          </w:p>
        </w:tc>
        <w:tc>
          <w:tcPr>
            <w:tcW w:type="dxa" w:w="6660"/>
          </w:tcPr>
          <w:p>
            <w:pPr>
              <w:spacing w:after="0"/>
            </w:pPr>
            <w:r>
              <w:rPr>
                <w:rFonts w:ascii="Hiragino Sans" w:hAnsi="Hiragino Sans" w:eastAsia="Hiragino Sans"/>
                <w:b w:val="0"/>
                <w:i w:val="0"/>
                <w:color w:val="1F2937"/>
                <w:sz w:val="19"/>
              </w:rPr>
              <w:t>2026-04-18</w:t>
            </w:r>
          </w:p>
        </w:tc>
      </w:tr>
      <w:tr>
        <w:tc>
          <w:tcPr>
            <w:tcW w:type="dxa" w:w="2700"/>
            <w:shd w:fill="F2F4F7"/>
          </w:tcPr>
          <w:p>
            <w:pPr>
              <w:spacing w:after="0"/>
            </w:pPr>
            <w:r>
              <w:rPr>
                <w:rFonts w:ascii="Hiragino Sans" w:hAnsi="Hiragino Sans" w:eastAsia="Hiragino Sans"/>
                <w:b/>
                <w:i w:val="0"/>
                <w:color w:val="1F4D78"/>
                <w:sz w:val="19"/>
              </w:rPr>
              <w:t>Severity</w:t>
            </w:r>
          </w:p>
        </w:tc>
        <w:tc>
          <w:tcPr>
            <w:tcW w:type="dxa" w:w="6660"/>
          </w:tcPr>
          <w:p>
            <w:pPr>
              <w:spacing w:after="0"/>
            </w:pPr>
            <w:r>
              <w:rPr>
                <w:rFonts w:ascii="Hiragino Sans" w:hAnsi="Hiragino Sans" w:eastAsia="Hiragino Sans"/>
                <w:b w:val="0"/>
                <w:i w:val="0"/>
                <w:color w:val="1F2937"/>
                <w:sz w:val="19"/>
              </w:rPr>
              <w:t>Moderate</w:t>
            </w:r>
          </w:p>
        </w:tc>
      </w:tr>
      <w:tr>
        <w:tc>
          <w:tcPr>
            <w:tcW w:type="dxa" w:w="2700"/>
            <w:shd w:fill="F2F4F7"/>
          </w:tcPr>
          <w:p>
            <w:pPr>
              <w:spacing w:after="0"/>
            </w:pPr>
            <w:r>
              <w:rPr>
                <w:rFonts w:ascii="Hiragino Sans" w:hAnsi="Hiragino Sans" w:eastAsia="Hiragino Sans"/>
                <w:b/>
                <w:i w:val="0"/>
                <w:color w:val="1F4D78"/>
                <w:sz w:val="19"/>
              </w:rPr>
              <w:t>Status</w:t>
            </w:r>
          </w:p>
        </w:tc>
        <w:tc>
          <w:tcPr>
            <w:tcW w:type="dxa" w:w="6660"/>
          </w:tcPr>
          <w:p>
            <w:pPr>
              <w:spacing w:after="0"/>
            </w:pPr>
            <w:r>
              <w:rPr>
                <w:rFonts w:ascii="Hiragino Sans" w:hAnsi="Hiragino Sans" w:eastAsia="Hiragino Sans"/>
                <w:b w:val="0"/>
                <w:i w:val="0"/>
                <w:color w:val="1F2937"/>
                <w:sz w:val="19"/>
              </w:rPr>
              <w:t>Closed with access normalization</w:t>
            </w:r>
          </w:p>
        </w:tc>
      </w:tr>
      <w:tr>
        <w:tc>
          <w:tcPr>
            <w:tcW w:type="dxa" w:w="2700"/>
            <w:shd w:fill="F2F4F7"/>
          </w:tcPr>
          <w:p>
            <w:pPr>
              <w:spacing w:after="0"/>
            </w:pPr>
            <w:r>
              <w:rPr>
                <w:rFonts w:ascii="Hiragino Sans" w:hAnsi="Hiragino Sans" w:eastAsia="Hiragino Sans"/>
                <w:b/>
                <w:i w:val="0"/>
                <w:color w:val="1F4D78"/>
                <w:sz w:val="19"/>
              </w:rPr>
              <w:t>Control</w:t>
            </w:r>
          </w:p>
        </w:tc>
        <w:tc>
          <w:tcPr>
            <w:tcW w:type="dxa" w:w="6660"/>
          </w:tcPr>
          <w:p>
            <w:pPr>
              <w:spacing w:after="0"/>
            </w:pPr>
            <w:r>
              <w:rPr>
                <w:rFonts w:ascii="Hiragino Sans" w:hAnsi="Hiragino Sans" w:eastAsia="Hiragino Sans"/>
                <w:b w:val="0"/>
                <w:i w:val="0"/>
                <w:color w:val="1F2937"/>
                <w:sz w:val="19"/>
              </w:rPr>
              <w:t>AC-14 Audit Library</w:t>
            </w:r>
          </w:p>
        </w:tc>
      </w:tr>
      <w:tr>
        <w:tc>
          <w:tcPr>
            <w:tcW w:type="dxa" w:w="2700"/>
            <w:shd w:fill="F2F4F7"/>
          </w:tcPr>
          <w:p>
            <w:pPr>
              <w:spacing w:after="0"/>
            </w:pPr>
            <w:r>
              <w:rPr>
                <w:rFonts w:ascii="Hiragino Sans" w:hAnsi="Hiragino Sans" w:eastAsia="Hiragino Sans"/>
                <w:b/>
                <w:i w:val="0"/>
                <w:color w:val="1F4D78"/>
                <w:sz w:val="19"/>
              </w:rPr>
              <w:t>Evidence</w:t>
            </w:r>
          </w:p>
        </w:tc>
        <w:tc>
          <w:tcPr>
            <w:tcW w:type="dxa" w:w="6660"/>
          </w:tcPr>
          <w:p>
            <w:pPr>
              <w:spacing w:after="0"/>
            </w:pPr>
            <w:r>
              <w:rPr>
                <w:rFonts w:ascii="Hiragino Sans" w:hAnsi="Hiragino Sans" w:eastAsia="Hiragino Sans"/>
                <w:b w:val="0"/>
                <w:i w:val="0"/>
                <w:color w:val="1F2937"/>
                <w:sz w:val="19"/>
              </w:rPr>
              <w:t>library sample 418</w:t>
            </w:r>
          </w:p>
        </w:tc>
      </w:tr>
    </w:tbl>
    <w:p>
      <w:pPr>
        <w:pStyle w:val="Heading2"/>
        <w:spacing w:before="0" w:after="120" w:line="264" w:lineRule="auto"/>
      </w:pPr>
      <w:r>
        <w:rPr>
          <w:rFonts w:ascii="Hiragino Sans" w:hAnsi="Hiragino Sans" w:eastAsia="Hiragino Sans"/>
          <w:b w:val="0"/>
          <w:i w:val="0"/>
          <w:color w:val="1F2937"/>
          <w:sz w:val="22"/>
        </w:rPr>
        <w:t>Executive summary</w:t>
      </w:r>
    </w:p>
    <w:p>
      <w:pPr>
        <w:spacing w:before="0" w:after="120" w:line="264" w:lineRule="auto"/>
      </w:pPr>
      <w:r>
        <w:rPr>
          <w:rFonts w:ascii="Hiragino Sans" w:hAnsi="Hiragino Sans" w:eastAsia="Hiragino Sans"/>
          <w:b w:val="0"/>
          <w:i w:val="0"/>
          <w:color w:val="1F2937"/>
          <w:sz w:val="22"/>
        </w:rPr>
        <w:t>An audit-library access review found a former reviewer retained in a group after a planned role transition. Read-only logs showed no file alteration during the interval.</w:t>
      </w:r>
    </w:p>
    <w:tbl>
      <w:tblPr>
        <w:tblStyle w:val="TableGrid"/>
        <w:tblW w:type="auto" w:w="0"/>
        <w:tblLook w:firstColumn="1" w:firstRow="1" w:lastColumn="0" w:lastRow="0" w:noHBand="0" w:noVBand="1" w:val="04A0"/>
        <w:tblW w:w="9360" w:type="dxa"/>
        <w:tblInd w:w="120" w:type="dxa"/>
        <w:tblLayout w:type="fixed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spacing w:after="0"/>
            </w:pPr>
            <w:r>
              <w:rPr>
                <w:rFonts w:ascii="Hiragino Sans" w:hAnsi="Hiragino Sans" w:eastAsia="Hiragino Sans"/>
                <w:b/>
                <w:i w:val="0"/>
                <w:color w:val="1F4D78"/>
                <w:sz w:val="20"/>
              </w:rPr>
              <w:t xml:space="preserve">Disposition / 判断: </w:t>
            </w:r>
            <w:r>
              <w:rPr>
                <w:rFonts w:ascii="Hiragino Sans" w:hAnsi="Hiragino Sans" w:eastAsia="Hiragino Sans"/>
                <w:b w:val="0"/>
                <w:i w:val="0"/>
                <w:color w:val="1F2937"/>
                <w:sz w:val="20"/>
              </w:rPr>
              <w:t>Contained governance observation. No live investigation, production change, or external disclosure was performed.</w:t>
            </w:r>
          </w:p>
        </w:tc>
      </w:tr>
    </w:tbl>
    <w:p>
      <w:pPr>
        <w:pStyle w:val="Heading2"/>
        <w:spacing w:before="0" w:after="120" w:line="264" w:lineRule="auto"/>
      </w:pPr>
      <w:r>
        <w:rPr>
          <w:rFonts w:ascii="Hiragino Sans" w:hAnsi="Hiragino Sans" w:eastAsia="Hiragino Sans"/>
          <w:b w:val="0"/>
          <w:i w:val="0"/>
          <w:color w:val="1F2937"/>
          <w:sz w:val="22"/>
        </w:rPr>
        <w:t>Scope and handling</w:t>
      </w:r>
    </w:p>
    <w:p>
      <w:pPr>
        <w:spacing w:before="0" w:after="120" w:line="264" w:lineRule="auto"/>
      </w:pPr>
      <w:r>
        <w:rPr>
          <w:rFonts w:ascii="Hiragino Sans" w:hAnsi="Hiragino Sans" w:eastAsia="Hiragino Sans"/>
          <w:b w:val="0"/>
          <w:i w:val="0"/>
          <w:color w:val="1F2937"/>
          <w:sz w:val="22"/>
        </w:rPr>
        <w:t>A simulated audit library group had a stale reviewer membership after a role transition. The review found no evidence of file alteration.</w:t>
      </w:r>
    </w:p>
    <w:p>
      <w:pPr>
        <w:pStyle w:val="Heading2"/>
        <w:spacing w:before="0" w:after="120" w:line="264" w:lineRule="auto"/>
      </w:pPr>
      <w:r>
        <w:rPr>
          <w:rFonts w:ascii="Hiragino Sans" w:hAnsi="Hiragino Sans" w:eastAsia="Hiragino Sans"/>
          <w:b w:val="0"/>
          <w:i w:val="0"/>
          <w:color w:val="1F2937"/>
          <w:sz w:val="22"/>
        </w:rPr>
        <w:t>Fact timeline</w:t>
      </w:r>
    </w:p>
    <w:p>
      <w:pPr>
        <w:spacing w:before="0" w:after="120" w:line="264" w:lineRule="auto"/>
      </w:pPr>
      <w:r>
        <w:rPr>
          <w:rFonts w:ascii="Hiragino Sans" w:hAnsi="Hiragino Sans" w:eastAsia="Hiragino Sans"/>
          <w:b w:val="0"/>
          <w:i w:val="0"/>
          <w:color w:val="1F2937"/>
          <w:sz w:val="22"/>
        </w:rPr>
        <w:t>2026-04-18: Removed the stale membership, rechecked the role matrix, and captured an independent reviewer attestation.</w:t>
      </w:r>
    </w:p>
    <w:p>
      <w:pPr>
        <w:pStyle w:val="Heading2"/>
        <w:spacing w:before="0" w:after="120" w:line="264" w:lineRule="auto"/>
      </w:pPr>
      <w:r>
        <w:rPr>
          <w:rFonts w:ascii="Hiragino Sans" w:hAnsi="Hiragino Sans" w:eastAsia="Hiragino Sans"/>
          <w:b w:val="0"/>
          <w:i w:val="0"/>
          <w:color w:val="1F2937"/>
          <w:sz w:val="22"/>
        </w:rPr>
        <w:t>Contributing factor</w:t>
      </w:r>
    </w:p>
    <w:p>
      <w:pPr>
        <w:spacing w:before="0" w:after="120" w:line="264" w:lineRule="auto"/>
      </w:pPr>
      <w:r>
        <w:rPr>
          <w:rFonts w:ascii="Hiragino Sans" w:hAnsi="Hiragino Sans" w:eastAsia="Hiragino Sans"/>
          <w:b w:val="0"/>
          <w:i w:val="0"/>
          <w:color w:val="1F2937"/>
          <w:sz w:val="22"/>
        </w:rPr>
        <w:t>The transition checklist closed before the library-group confirmation task.</w:t>
      </w:r>
    </w:p>
    <w:p>
      <w:r>
        <w:br w:type="page"/>
      </w:r>
    </w:p>
    <w:p>
      <w:pPr>
        <w:pStyle w:val="Heading1"/>
        <w:spacing w:before="0" w:after="120" w:line="264" w:lineRule="auto"/>
      </w:pPr>
      <w:r>
        <w:rPr>
          <w:rFonts w:ascii="Hiragino Sans" w:hAnsi="Hiragino Sans" w:eastAsia="Hiragino Sans"/>
          <w:b w:val="0"/>
          <w:i w:val="0"/>
          <w:color w:val="1F2937"/>
          <w:sz w:val="22"/>
        </w:rPr>
        <w:t>Analysis and corrective action</w:t>
      </w:r>
    </w:p>
    <w:p>
      <w:pPr>
        <w:pStyle w:val="Heading2"/>
        <w:spacing w:before="0" w:after="120" w:line="264" w:lineRule="auto"/>
      </w:pPr>
      <w:r>
        <w:rPr>
          <w:rFonts w:ascii="Hiragino Sans" w:hAnsi="Hiragino Sans" w:eastAsia="Hiragino Sans"/>
          <w:b w:val="0"/>
          <w:i w:val="0"/>
          <w:color w:val="1F2937"/>
          <w:sz w:val="22"/>
        </w:rPr>
        <w:t>Review record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W w:w="9360" w:type="dxa"/>
        <w:tblInd w:w="120" w:type="dxa"/>
        <w:tblLayout w:type="fixed"/>
      </w:tblPr>
      <w:tblGrid>
        <w:gridCol w:w="2600"/>
        <w:gridCol w:w="4700"/>
        <w:gridCol w:w="2060"/>
      </w:tblGrid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Hiragino Sans" w:hAnsi="Hiragino Sans" w:eastAsia="Hiragino Sans"/>
                <w:b/>
                <w:i w:val="0"/>
                <w:color w:val="1F4D78"/>
                <w:sz w:val="18"/>
              </w:rPr>
              <w:t>Checkpoint</w:t>
            </w:r>
          </w:p>
        </w:tc>
        <w:tc>
          <w:tcPr>
            <w:tcW w:type="dxa" w:w="4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Hiragino Sans" w:hAnsi="Hiragino Sans" w:eastAsia="Hiragino Sans"/>
                <w:b/>
                <w:i w:val="0"/>
                <w:color w:val="1F4D78"/>
                <w:sz w:val="18"/>
              </w:rPr>
              <w:t>Outcome</w:t>
            </w:r>
          </w:p>
        </w:tc>
        <w:tc>
          <w:tcPr>
            <w:tcW w:type="dxa" w:w="2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Hiragino Sans" w:hAnsi="Hiragino Sans" w:eastAsia="Hiragino Sans"/>
                <w:b/>
                <w:i w:val="0"/>
                <w:color w:val="1F4D78"/>
                <w:sz w:val="18"/>
              </w:rPr>
              <w:t>Owner</w:t>
            </w:r>
          </w:p>
        </w:tc>
      </w:tr>
      <w:tr>
        <w:tc>
          <w:tcPr>
            <w:tcW w:type="dxa" w:w="2600"/>
          </w:tcPr>
          <w:p>
            <w:pPr>
              <w:spacing w:after="0" w:line="252" w:lineRule="auto"/>
            </w:pPr>
            <w:r>
              <w:rPr>
                <w:rFonts w:ascii="Hiragino Sans" w:hAnsi="Hiragino Sans" w:eastAsia="Hiragino Sans"/>
                <w:b w:val="0"/>
                <w:i w:val="0"/>
                <w:color w:val="1F2937"/>
                <w:sz w:val="18"/>
              </w:rPr>
              <w:t>Intake triage</w:t>
            </w:r>
          </w:p>
        </w:tc>
        <w:tc>
          <w:tcPr>
            <w:tcW w:type="dxa" w:w="4700"/>
          </w:tcPr>
          <w:p>
            <w:pPr>
              <w:spacing w:after="0" w:line="252" w:lineRule="auto"/>
            </w:pPr>
            <w:r>
              <w:rPr>
                <w:rFonts w:ascii="Hiragino Sans" w:hAnsi="Hiragino Sans" w:eastAsia="Hiragino Sans"/>
                <w:b w:val="0"/>
                <w:i w:val="0"/>
                <w:color w:val="1F2937"/>
                <w:sz w:val="18"/>
              </w:rPr>
              <w:t>Classified as a governance-control variance; scope bounded.</w:t>
            </w:r>
          </w:p>
        </w:tc>
        <w:tc>
          <w:tcPr>
            <w:tcW w:type="dxa" w:w="2060"/>
          </w:tcPr>
          <w:p>
            <w:pPr>
              <w:spacing w:after="0" w:line="252" w:lineRule="auto"/>
            </w:pPr>
            <w:r>
              <w:rPr>
                <w:rFonts w:ascii="Hiragino Sans" w:hAnsi="Hiragino Sans" w:eastAsia="Hiragino Sans"/>
                <w:b w:val="0"/>
                <w:i w:val="0"/>
                <w:color w:val="1F2937"/>
                <w:sz w:val="18"/>
              </w:rPr>
              <w:t>GRC Analyst</w:t>
            </w:r>
          </w:p>
        </w:tc>
      </w:tr>
      <w:tr>
        <w:tc>
          <w:tcPr>
            <w:tcW w:type="dxa" w:w="2600"/>
          </w:tcPr>
          <w:p>
            <w:pPr>
              <w:spacing w:after="0" w:line="252" w:lineRule="auto"/>
            </w:pPr>
            <w:r>
              <w:rPr>
                <w:rFonts w:ascii="Hiragino Sans" w:hAnsi="Hiragino Sans" w:eastAsia="Hiragino Sans"/>
                <w:b w:val="0"/>
                <w:i w:val="0"/>
                <w:color w:val="1F2937"/>
                <w:sz w:val="18"/>
              </w:rPr>
              <w:t>Containment</w:t>
            </w:r>
          </w:p>
        </w:tc>
        <w:tc>
          <w:tcPr>
            <w:tcW w:type="dxa" w:w="4700"/>
          </w:tcPr>
          <w:p>
            <w:pPr>
              <w:spacing w:after="0" w:line="252" w:lineRule="auto"/>
            </w:pPr>
            <w:r>
              <w:rPr>
                <w:rFonts w:ascii="Hiragino Sans" w:hAnsi="Hiragino Sans" w:eastAsia="Hiragino Sans"/>
                <w:b w:val="0"/>
                <w:i w:val="0"/>
                <w:color w:val="1F2937"/>
                <w:sz w:val="18"/>
              </w:rPr>
              <w:t>The library administrator removed the membership, the assurance reviewer checked group history, and the checklist was amended.</w:t>
            </w:r>
          </w:p>
        </w:tc>
        <w:tc>
          <w:tcPr>
            <w:tcW w:type="dxa" w:w="2060"/>
          </w:tcPr>
          <w:p>
            <w:pPr>
              <w:spacing w:after="0" w:line="252" w:lineRule="auto"/>
            </w:pPr>
            <w:r>
              <w:rPr>
                <w:rFonts w:ascii="Hiragino Sans" w:hAnsi="Hiragino Sans" w:eastAsia="Hiragino Sans"/>
                <w:b w:val="0"/>
                <w:i w:val="0"/>
                <w:color w:val="1F2937"/>
                <w:sz w:val="18"/>
              </w:rPr>
              <w:t>Library Administrator</w:t>
            </w:r>
          </w:p>
        </w:tc>
      </w:tr>
      <w:tr>
        <w:tc>
          <w:tcPr>
            <w:tcW w:type="dxa" w:w="2600"/>
          </w:tcPr>
          <w:p>
            <w:pPr>
              <w:spacing w:after="0" w:line="252" w:lineRule="auto"/>
            </w:pPr>
            <w:r>
              <w:rPr>
                <w:rFonts w:ascii="Hiragino Sans" w:hAnsi="Hiragino Sans" w:eastAsia="Hiragino Sans"/>
                <w:b w:val="0"/>
                <w:i w:val="0"/>
                <w:color w:val="1F2937"/>
                <w:sz w:val="18"/>
              </w:rPr>
              <w:t>Preventive action</w:t>
            </w:r>
          </w:p>
        </w:tc>
        <w:tc>
          <w:tcPr>
            <w:tcW w:type="dxa" w:w="4700"/>
          </w:tcPr>
          <w:p>
            <w:pPr>
              <w:spacing w:after="0" w:line="252" w:lineRule="auto"/>
            </w:pPr>
            <w:r>
              <w:rPr>
                <w:rFonts w:ascii="Hiragino Sans" w:hAnsi="Hiragino Sans" w:eastAsia="Hiragino Sans"/>
                <w:b w:val="0"/>
                <w:i w:val="0"/>
                <w:color w:val="1F2937"/>
                <w:sz w:val="18"/>
              </w:rPr>
              <w:t>Sample role-transition checklists against group membership after each monthly change window.</w:t>
            </w:r>
          </w:p>
        </w:tc>
        <w:tc>
          <w:tcPr>
            <w:tcW w:type="dxa" w:w="2060"/>
          </w:tcPr>
          <w:p>
            <w:pPr>
              <w:spacing w:after="0" w:line="252" w:lineRule="auto"/>
            </w:pPr>
            <w:r>
              <w:rPr>
                <w:rFonts w:ascii="Hiragino Sans" w:hAnsi="Hiragino Sans" w:eastAsia="Hiragino Sans"/>
                <w:b w:val="0"/>
                <w:i w:val="0"/>
                <w:color w:val="1F2937"/>
                <w:sz w:val="18"/>
              </w:rPr>
              <w:t>Assurance Reviewer</w:t>
            </w:r>
          </w:p>
        </w:tc>
      </w:tr>
      <w:tr>
        <w:tc>
          <w:tcPr>
            <w:tcW w:type="dxa" w:w="2600"/>
          </w:tcPr>
          <w:p>
            <w:pPr>
              <w:spacing w:after="0" w:line="252" w:lineRule="auto"/>
            </w:pPr>
            <w:r>
              <w:rPr>
                <w:rFonts w:ascii="Hiragino Sans" w:hAnsi="Hiragino Sans" w:eastAsia="Hiragino Sans"/>
                <w:b w:val="0"/>
                <w:i w:val="0"/>
                <w:color w:val="1F2937"/>
                <w:sz w:val="18"/>
              </w:rPr>
              <w:t>Due date</w:t>
            </w:r>
          </w:p>
        </w:tc>
        <w:tc>
          <w:tcPr>
            <w:tcW w:type="dxa" w:w="4700"/>
          </w:tcPr>
          <w:p>
            <w:pPr>
              <w:spacing w:after="0" w:line="252" w:lineRule="auto"/>
            </w:pPr>
            <w:r>
              <w:rPr>
                <w:rFonts w:ascii="Hiragino Sans" w:hAnsi="Hiragino Sans" w:eastAsia="Hiragino Sans"/>
                <w:b w:val="0"/>
                <w:i w:val="0"/>
                <w:color w:val="1F2937"/>
                <w:sz w:val="18"/>
              </w:rPr>
              <w:t>2026-04-25</w:t>
            </w:r>
          </w:p>
        </w:tc>
        <w:tc>
          <w:tcPr>
            <w:tcW w:type="dxa" w:w="2060"/>
          </w:tcPr>
          <w:p>
            <w:pPr>
              <w:spacing w:after="0" w:line="252" w:lineRule="auto"/>
            </w:pPr>
            <w:r>
              <w:rPr>
                <w:rFonts w:ascii="Hiragino Sans" w:hAnsi="Hiragino Sans" w:eastAsia="Hiragino Sans"/>
                <w:b w:val="0"/>
                <w:i w:val="0"/>
                <w:color w:val="1F2937"/>
                <w:sz w:val="18"/>
              </w:rPr>
              <w:t>Accountable owner</w:t>
            </w:r>
          </w:p>
        </w:tc>
      </w:tr>
    </w:tbl>
    <w:p>
      <w:pPr>
        <w:pStyle w:val="Heading2"/>
        <w:spacing w:before="0" w:after="120" w:line="264" w:lineRule="auto"/>
      </w:pPr>
      <w:r>
        <w:rPr>
          <w:rFonts w:ascii="Hiragino Sans" w:hAnsi="Hiragino Sans" w:eastAsia="Hiragino Sans"/>
          <w:b w:val="0"/>
          <w:i w:val="0"/>
          <w:color w:val="1F2937"/>
          <w:sz w:val="22"/>
        </w:rPr>
        <w:t>Corrective actions</w:t>
      </w:r>
    </w:p>
    <w:p>
      <w:pPr>
        <w:spacing w:after="100"/>
        <w:ind w:left="360" w:hanging="259"/>
      </w:pPr>
      <w:r>
        <w:rPr>
          <w:rFonts w:ascii="Hiragino Sans" w:hAnsi="Hiragino Sans" w:eastAsia="Hiragino Sans"/>
          <w:b w:val="0"/>
          <w:i w:val="0"/>
          <w:color w:val="1F2937"/>
          <w:sz w:val="20"/>
        </w:rPr>
        <w:t>• The library administrator removed the membership, the assurance reviewer checked group history, and the checklist was amended.</w:t>
      </w:r>
    </w:p>
    <w:p>
      <w:pPr>
        <w:spacing w:after="100"/>
        <w:ind w:left="360" w:hanging="259"/>
      </w:pPr>
      <w:r>
        <w:rPr>
          <w:rFonts w:ascii="Hiragino Sans" w:hAnsi="Hiragino Sans" w:eastAsia="Hiragino Sans"/>
          <w:b w:val="0"/>
          <w:i w:val="0"/>
          <w:color w:val="1F2937"/>
          <w:sz w:val="20"/>
        </w:rPr>
        <w:t>• Sample role-transition checklists against group membership after each monthly change window.</w:t>
      </w:r>
    </w:p>
    <w:p>
      <w:pPr>
        <w:pStyle w:val="Heading2"/>
        <w:spacing w:before="0" w:after="120" w:line="264" w:lineRule="auto"/>
      </w:pPr>
      <w:r>
        <w:rPr>
          <w:rFonts w:ascii="Hiragino Sans" w:hAnsi="Hiragino Sans" w:eastAsia="Hiragino Sans"/>
          <w:b w:val="0"/>
          <w:i w:val="0"/>
          <w:color w:val="1F2937"/>
          <w:sz w:val="22"/>
        </w:rPr>
        <w:t>Closure statement</w:t>
      </w:r>
    </w:p>
    <w:p>
      <w:pPr>
        <w:spacing w:before="0" w:after="120" w:line="264" w:lineRule="auto"/>
      </w:pPr>
      <w:r>
        <w:rPr>
          <w:rFonts w:ascii="Hiragino Sans" w:hAnsi="Hiragino Sans" w:eastAsia="Hiragino Sans"/>
          <w:b w:val="0"/>
          <w:i w:val="0"/>
          <w:color w:val="1F2937"/>
          <w:sz w:val="22"/>
        </w:rPr>
        <w:t>Closure rests on removal evidence, unchanged-file review, and an amended checklist. Residual risk: overlapping transitions can obscure ownership of a final check. This fictional record is limited to defensive audit and control-assurance work.</w:t>
      </w:r>
    </w:p>
    <w:p>
      <w:pPr>
        <w:spacing w:before="0" w:after="0" w:line="264" w:lineRule="auto"/>
      </w:pPr>
      <w:r>
        <w:rPr>
          <w:rFonts w:ascii="Hiragino Sans" w:hAnsi="Hiragino Sans" w:eastAsia="Hiragino Sans"/>
          <w:b w:val="0"/>
          <w:i/>
          <w:color w:val="5B6573"/>
          <w:sz w:val="17"/>
        </w:rPr>
        <w:t>Anchor record: Cobalt Harbor; least-privilege review; fictional repository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Hiragino Sans" w:hAnsi="Hiragino Sans" w:eastAsia="Hiragino Sans"/>
        <w:b w:val="0"/>
        <w:i w:val="0"/>
        <w:color w:val="5B6573"/>
        <w:sz w:val="16"/>
      </w:rPr>
      <w:t>Internal fictional governance record | ja-JP / EN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Hiragino Sans" w:hAnsi="Hiragino Sans" w:eastAsia="Hiragino Sans"/>
        <w:b w:val="0"/>
        <w:i w:val="0"/>
        <w:color w:val="5B6573"/>
        <w:sz w:val="17"/>
      </w:rPr>
      <w:t>Cobalt Harbor Systems | Security &amp; GRC | INC-260418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Hiragino Sans" w:hAnsi="Hiragino Sans" w:eastAsia="Hiragino Sans"/>
      <w:color w:val="1F2937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 w:line="264" w:lineRule="auto"/>
      <w:outlineLvl w:val="0"/>
    </w:pPr>
    <w:rPr>
      <w:rFonts w:asciiTheme="majorHAnsi" w:eastAsiaTheme="majorEastAsia" w:hAnsiTheme="majorHAnsi" w:cstheme="majorBidi" w:ascii="Hiragino Sans" w:hAnsi="Hiragino Sans" w:eastAsia="Hiragino Sans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 w:line="264" w:lineRule="auto"/>
      <w:outlineLvl w:val="1"/>
    </w:pPr>
    <w:rPr>
      <w:rFonts w:asciiTheme="majorHAnsi" w:eastAsiaTheme="majorEastAsia" w:hAnsiTheme="majorHAnsi" w:cstheme="majorBidi" w:ascii="Hiragino Sans" w:hAnsi="Hiragino Sans" w:eastAsia="Hiragino Sans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 w:line="264" w:lineRule="auto"/>
      <w:outlineLvl w:val="2"/>
    </w:pPr>
    <w:rPr>
      <w:rFonts w:asciiTheme="majorHAnsi" w:eastAsiaTheme="majorEastAsia" w:hAnsiTheme="majorHAnsi" w:cstheme="majorBidi" w:ascii="Hiragino Sans" w:hAnsi="Hiragino Sans" w:eastAsia="Hiragino Sans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