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Hiragino Sans" w:hAnsi="Hiragino Sans" w:eastAsia="Hiragino Sans"/>
          <w:b/>
          <w:i w:val="0"/>
          <w:color w:val="0B2545"/>
          <w:sz w:val="44"/>
        </w:rPr>
        <w:t>SECURITY INCIDENT REPORT</w:t>
      </w:r>
    </w:p>
    <w:p>
      <w:pPr>
        <w:spacing w:after="240"/>
      </w:pPr>
      <w:r>
        <w:rPr>
          <w:rFonts w:ascii="Hiragino Sans" w:hAnsi="Hiragino Sans" w:eastAsia="Hiragino Sans"/>
          <w:b w:val="0"/>
          <w:i w:val="0"/>
          <w:color w:val="4B5563"/>
          <w:sz w:val="26"/>
        </w:rPr>
        <w:t>Policy exception routing misclassification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Case ID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INC-260506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Date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2026-05-06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Severity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Low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Status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Closed after routing correction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Control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AC-22 Exception Governance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Evidence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exception packet 506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Executive summary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policy exception request entered a general triage queue instead of the named control-owner queue. It was neither approved nor actioned while misrouted.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20"/>
              </w:rPr>
              <w:t xml:space="preserve">Disposition / 判断: </w:t>
            </w: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20"/>
              </w:rPr>
              <w:t>Contained governance observation. No live investigation, production change, or external disclosure was performed.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Scope and handling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fictional policy exception intake was routed to a general queue rather than the assigned control owner. The request was not approved while misrouted.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Fact timeline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2026-05-06: Returned the request to the correct owner, reviewed routing criteria, and retained the decision trail.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Contributing factor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The intake taxonomy used a retired policy alias.</w:t>
      </w:r>
    </w:p>
    <w:p>
      <w:r>
        <w:br w:type="page"/>
      </w:r>
    </w:p>
    <w:p>
      <w:pPr>
        <w:pStyle w:val="Heading1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Analysis and corrective action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Review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600"/>
        <w:gridCol w:w="4700"/>
        <w:gridCol w:w="20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Checkpoint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Outcome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Intake triage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Classified as a governance-control variance; scope bounded.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GRC Analyst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Containment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The intake coordinator returned the request to the correct owner, retired the alias, and recorded the decision trail.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Policy Governance Lead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Preventive action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Test all exception taxonomy aliases against the owner-routing matrix monthly.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Assurance Reviewer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Due date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2026-05-13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Accountable owner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Corrective actions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The intake coordinator returned the request to the correct owner, retired the alias, and recorded the decision trail.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Test all exception taxonomy aliases against the owner-routing matrix monthly.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statement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rests on non-approval evidence, corrected taxonomy, and owner receipt confirmation. Residual risk: legacy labels may reappear in copied intake forms. This fictional record is limited to defensive audit and control-assurance work.</w:t>
      </w:r>
    </w:p>
    <w:p>
      <w:pPr>
        <w:spacing w:before="0" w:after="0" w:line="264" w:lineRule="auto"/>
      </w:pPr>
      <w:r>
        <w:rPr>
          <w:rFonts w:ascii="Hiragino Sans" w:hAnsi="Hiragino Sans" w:eastAsia="Hiragino Sans"/>
          <w:b w:val="0"/>
          <w:i/>
          <w:color w:val="5B6573"/>
          <w:sz w:val="17"/>
        </w:rPr>
        <w:t>Anchor record: Cobalt Harbor; no approval issued; controlled exception record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" w:hAnsi="Hiragino Sans" w:eastAsia="Hiragino Sans"/>
        <w:b w:val="0"/>
        <w:i w:val="0"/>
        <w:color w:val="5B6573"/>
        <w:sz w:val="16"/>
      </w:rPr>
      <w:t>Internal fictional governance record | ja-JP / 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" w:hAnsi="Hiragino Sans" w:eastAsia="Hiragino Sans"/>
        <w:b w:val="0"/>
        <w:i w:val="0"/>
        <w:color w:val="5B6573"/>
        <w:sz w:val="17"/>
      </w:rPr>
      <w:t>Cobalt Harbor Systems | Security &amp; GRC | INC-260506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" w:hAnsi="Hiragino Sans" w:eastAsia="Hiragino San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Hiragino Sans" w:hAnsi="Hiragino Sans" w:eastAsia="Hiragino San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