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SIEM evidence ingestion coverage gap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INC-260528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2026-05-28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High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after backfill verification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AC-09 Logging Assurance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event window 528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SIEM assurance dashboard omitted one governance event category from a monthly coverage view. Source evidence was retained; this was a reporting completeness issue, not a live detection failure.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simulated parser mapping omitted one governance event category from a reporting view. Source events remained preserved and no detection action was taken.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2026-05-28: Validated the mapping correction against a controlled sample and recorded the reviewer sign-off.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field-name change in the controlled parser map was not reflected in the assurance view.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telemetry custodian restored the mapping, backfilled the evidence index, and the GRC analyst compared counts against the preserved source sample.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Telemetry Custodian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Reconcile parser-map fields to assurance-view fields after each approved schema change.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2026-06-04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telemetry custodian restored the mapping, backfilled the evidence index, and the GRC analyst compared counts against the preserved source sample.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Reconcile parser-map fields to assurance-view fields after each approved schema change.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backfill count agreement, reviewed map revision, and a retained source sample. Residual risk: approved schema changes need explicit control-impact tagging.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controlled sample; audit-only telemetry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INC-260528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