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</w:pPr>
      <w:r>
        <w:rPr>
          <w:rFonts w:ascii="Hiragino Sans" w:hAnsi="Hiragino Sans" w:eastAsia="Hiragino Sans"/>
          <w:b/>
          <w:i w:val="0"/>
          <w:color w:val="0B2545"/>
          <w:sz w:val="44"/>
        </w:rPr>
        <w:t>SECURITY INCIDENT REPORT</w:t>
      </w:r>
    </w:p>
    <w:p>
      <w:pPr>
        <w:spacing w:after="240"/>
      </w:pPr>
      <w:r>
        <w:rPr>
          <w:rFonts w:ascii="Hiragino Sans" w:hAnsi="Hiragino Sans" w:eastAsia="Hiragino Sans"/>
          <w:b w:val="0"/>
          <w:i w:val="0"/>
          <w:color w:val="4B5563"/>
          <w:sz w:val="26"/>
        </w:rPr>
        <w:t>RISK-031 | Evidence classification review mismatch</w:t>
      </w:r>
    </w:p>
    <w:tbl>
      <w:tblPr>
        <w:tblStyle w:val="TableGrid"/>
        <w:tblW w:type="auto" w:w="0"/>
        <w:tblLook w:firstColumn="1" w:firstRow="1" w:lastColumn="0" w:lastRow="0" w:noHBand="0" w:noVBand="1" w:val="04A0"/>
        <w:tblW w:w="9360" w:type="dxa"/>
        <w:tblInd w:w="120" w:type="dxa"/>
        <w:tblLayout w:type="fixed"/>
      </w:tblPr>
      <w:tblGrid>
        <w:gridCol w:w="2700"/>
        <w:gridCol w:w="6660"/>
      </w:tblGrid>
      <w:tr>
        <w:tc>
          <w:tcPr>
            <w:tcW w:type="dxa" w:w="2700"/>
            <w:shd w:fill="F2F4F7"/>
          </w:tcPr>
          <w:p>
            <w:pPr>
              <w:spacing w:after="0"/>
            </w:pPr>
            <w:r>
              <w:rPr>
                <w:rFonts w:ascii="Hiragino Sans" w:hAnsi="Hiragino Sans" w:eastAsia="Hiragino Sans"/>
                <w:b/>
                <w:i w:val="0"/>
                <w:color w:val="1F4D78"/>
                <w:sz w:val="19"/>
              </w:rPr>
              <w:t>Case ID</w:t>
            </w:r>
          </w:p>
        </w:tc>
        <w:tc>
          <w:tcPr>
            <w:tcW w:type="dxa" w:w="6660"/>
          </w:tcPr>
          <w:p>
            <w:pPr>
              <w:spacing w:after="0"/>
            </w:pPr>
            <w:r>
              <w:rPr>
                <w:rFonts w:ascii="Hiragino Sans" w:hAnsi="Hiragino Sans" w:eastAsia="Hiragino Sans"/>
                <w:b w:val="0"/>
                <w:i w:val="0"/>
                <w:color w:val="1F2937"/>
                <w:sz w:val="19"/>
              </w:rPr>
              <w:t>INC-260713</w:t>
            </w:r>
          </w:p>
        </w:tc>
      </w:tr>
      <w:tr>
        <w:tc>
          <w:tcPr>
            <w:tcW w:type="dxa" w:w="2700"/>
            <w:shd w:fill="F2F4F7"/>
          </w:tcPr>
          <w:p>
            <w:pPr>
              <w:spacing w:after="0"/>
            </w:pPr>
            <w:r>
              <w:rPr>
                <w:rFonts w:ascii="Hiragino Sans" w:hAnsi="Hiragino Sans" w:eastAsia="Hiragino Sans"/>
                <w:b/>
                <w:i w:val="0"/>
                <w:color w:val="1F4D78"/>
                <w:sz w:val="19"/>
              </w:rPr>
              <w:t>Date</w:t>
            </w:r>
          </w:p>
        </w:tc>
        <w:tc>
          <w:tcPr>
            <w:tcW w:type="dxa" w:w="6660"/>
          </w:tcPr>
          <w:p>
            <w:pPr>
              <w:spacing w:after="0"/>
            </w:pPr>
            <w:r>
              <w:rPr>
                <w:rFonts w:ascii="Hiragino Sans" w:hAnsi="Hiragino Sans" w:eastAsia="Hiragino Sans"/>
                <w:b w:val="0"/>
                <w:i w:val="0"/>
                <w:color w:val="1F2937"/>
                <w:sz w:val="19"/>
              </w:rPr>
              <w:t>2026-07-13</w:t>
            </w:r>
          </w:p>
        </w:tc>
      </w:tr>
      <w:tr>
        <w:tc>
          <w:tcPr>
            <w:tcW w:type="dxa" w:w="2700"/>
            <w:shd w:fill="F2F4F7"/>
          </w:tcPr>
          <w:p>
            <w:pPr>
              <w:spacing w:after="0"/>
            </w:pPr>
            <w:r>
              <w:rPr>
                <w:rFonts w:ascii="Hiragino Sans" w:hAnsi="Hiragino Sans" w:eastAsia="Hiragino Sans"/>
                <w:b/>
                <w:i w:val="0"/>
                <w:color w:val="1F4D78"/>
                <w:sz w:val="19"/>
              </w:rPr>
              <w:t>Severity</w:t>
            </w:r>
          </w:p>
        </w:tc>
        <w:tc>
          <w:tcPr>
            <w:tcW w:type="dxa" w:w="6660"/>
          </w:tcPr>
          <w:p>
            <w:pPr>
              <w:spacing w:after="0"/>
            </w:pPr>
            <w:r>
              <w:rPr>
                <w:rFonts w:ascii="Hiragino Sans" w:hAnsi="Hiragino Sans" w:eastAsia="Hiragino Sans"/>
                <w:b w:val="0"/>
                <w:i w:val="0"/>
                <w:color w:val="1F2937"/>
                <w:sz w:val="19"/>
              </w:rPr>
              <w:t>High</w:t>
            </w:r>
          </w:p>
        </w:tc>
      </w:tr>
      <w:tr>
        <w:tc>
          <w:tcPr>
            <w:tcW w:type="dxa" w:w="2700"/>
            <w:shd w:fill="F2F4F7"/>
          </w:tcPr>
          <w:p>
            <w:pPr>
              <w:spacing w:after="0"/>
            </w:pPr>
            <w:r>
              <w:rPr>
                <w:rFonts w:ascii="Hiragino Sans" w:hAnsi="Hiragino Sans" w:eastAsia="Hiragino Sans"/>
                <w:b/>
                <w:i w:val="0"/>
                <w:color w:val="1F4D78"/>
                <w:sz w:val="19"/>
              </w:rPr>
              <w:t>Status</w:t>
            </w:r>
          </w:p>
        </w:tc>
        <w:tc>
          <w:tcPr>
            <w:tcW w:type="dxa" w:w="6660"/>
          </w:tcPr>
          <w:p>
            <w:pPr>
              <w:spacing w:after="0"/>
            </w:pPr>
            <w:r>
              <w:rPr>
                <w:rFonts w:ascii="Hiragino Sans" w:hAnsi="Hiragino Sans" w:eastAsia="Hiragino Sans"/>
                <w:b w:val="0"/>
                <w:i w:val="0"/>
                <w:color w:val="1F2937"/>
                <w:sz w:val="19"/>
              </w:rPr>
              <w:t>Closed with corrective actions</w:t>
            </w:r>
          </w:p>
        </w:tc>
      </w:tr>
      <w:tr>
        <w:tc>
          <w:tcPr>
            <w:tcW w:type="dxa" w:w="2700"/>
            <w:shd w:fill="F2F4F7"/>
          </w:tcPr>
          <w:p>
            <w:pPr>
              <w:spacing w:after="0"/>
            </w:pPr>
            <w:r>
              <w:rPr>
                <w:rFonts w:ascii="Hiragino Sans" w:hAnsi="Hiragino Sans" w:eastAsia="Hiragino Sans"/>
                <w:b/>
                <w:i w:val="0"/>
                <w:color w:val="1F4D78"/>
                <w:sz w:val="19"/>
              </w:rPr>
              <w:t>Control</w:t>
            </w:r>
          </w:p>
        </w:tc>
        <w:tc>
          <w:tcPr>
            <w:tcW w:type="dxa" w:w="6660"/>
          </w:tcPr>
          <w:p>
            <w:pPr>
              <w:spacing w:after="0"/>
            </w:pPr>
            <w:r>
              <w:rPr>
                <w:rFonts w:ascii="Hiragino Sans" w:hAnsi="Hiragino Sans" w:eastAsia="Hiragino Sans"/>
                <w:b w:val="0"/>
                <w:i w:val="0"/>
                <w:color w:val="1F2937"/>
                <w:sz w:val="19"/>
              </w:rPr>
              <w:t>Aegis Control AC-27</w:t>
            </w:r>
          </w:p>
        </w:tc>
      </w:tr>
      <w:tr>
        <w:tc>
          <w:tcPr>
            <w:tcW w:type="dxa" w:w="2700"/>
            <w:shd w:fill="F2F4F7"/>
          </w:tcPr>
          <w:p>
            <w:pPr>
              <w:spacing w:after="0"/>
            </w:pPr>
            <w:r>
              <w:rPr>
                <w:rFonts w:ascii="Hiragino Sans" w:hAnsi="Hiragino Sans" w:eastAsia="Hiragino Sans"/>
                <w:b/>
                <w:i w:val="0"/>
                <w:color w:val="1F4D78"/>
                <w:sz w:val="19"/>
              </w:rPr>
              <w:t>Evidence</w:t>
            </w:r>
          </w:p>
        </w:tc>
        <w:tc>
          <w:tcPr>
            <w:tcW w:type="dxa" w:w="6660"/>
          </w:tcPr>
          <w:p>
            <w:pPr>
              <w:spacing w:after="0"/>
            </w:pPr>
            <w:r>
              <w:rPr>
                <w:rFonts w:ascii="Hiragino Sans" w:hAnsi="Hiragino Sans" w:eastAsia="Hiragino Sans"/>
                <w:b w:val="0"/>
                <w:i w:val="0"/>
                <w:color w:val="1F2937"/>
                <w:sz w:val="19"/>
              </w:rPr>
              <w:t>evidence set 184</w:t>
            </w:r>
          </w:p>
        </w:tc>
      </w:tr>
    </w:tbl>
    <w:p>
      <w:pPr>
        <w:pStyle w:val="Heading2"/>
        <w:spacing w:before="0" w:after="120" w:line="264" w:lineRule="auto"/>
      </w:pPr>
      <w:r>
        <w:rPr>
          <w:rFonts w:ascii="Hiragino Sans" w:hAnsi="Hiragino Sans" w:eastAsia="Hiragino Sans"/>
          <w:b w:val="0"/>
          <w:i w:val="0"/>
          <w:color w:val="1F2937"/>
          <w:sz w:val="22"/>
        </w:rPr>
        <w:t>Executive summary</w:t>
      </w:r>
    </w:p>
    <w:p>
      <w:pPr>
        <w:spacing w:before="0" w:after="120" w:line="264" w:lineRule="auto"/>
      </w:pPr>
      <w:r>
        <w:rPr>
          <w:rFonts w:ascii="Hiragino Sans" w:hAnsi="Hiragino Sans" w:eastAsia="Hiragino Sans"/>
          <w:b w:val="0"/>
          <w:i w:val="0"/>
          <w:color w:val="1F2937"/>
          <w:sz w:val="22"/>
        </w:rPr>
        <w:t>A scheduled AC-27 reconciliation noticed that one evidence package moved from the approved label to a draft retention queue after an owner reassignment. Scope was one package only; the preserved hash record and review history showed no content modification.</w:t>
      </w:r>
    </w:p>
    <w:tbl>
      <w:tblPr>
        <w:tblStyle w:val="TableGrid"/>
        <w:tblW w:type="auto" w:w="0"/>
        <w:tblLook w:firstColumn="1" w:firstRow="1" w:lastColumn="0" w:lastRow="0" w:noHBand="0" w:noVBand="1" w:val="04A0"/>
        <w:tblW w:w="9360" w:type="dxa"/>
        <w:tblInd w:w="120" w:type="dxa"/>
        <w:tblLayout w:type="fixed"/>
      </w:tblPr>
      <w:tblGrid>
        <w:gridCol w:w="936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4F6F9"/>
          </w:tcPr>
          <w:p>
            <w:pPr>
              <w:spacing w:after="0"/>
            </w:pPr>
            <w:r>
              <w:rPr>
                <w:rFonts w:ascii="Hiragino Sans" w:hAnsi="Hiragino Sans" w:eastAsia="Hiragino Sans"/>
                <w:b/>
                <w:i w:val="0"/>
                <w:color w:val="1F4D78"/>
                <w:sz w:val="20"/>
              </w:rPr>
              <w:t xml:space="preserve">Disposition / 判断: </w:t>
            </w:r>
            <w:r>
              <w:rPr>
                <w:rFonts w:ascii="Hiragino Sans" w:hAnsi="Hiragino Sans" w:eastAsia="Hiragino Sans"/>
                <w:b w:val="0"/>
                <w:i w:val="0"/>
                <w:color w:val="1F2937"/>
                <w:sz w:val="20"/>
              </w:rPr>
              <w:t>Contained governance observation. No live investigation, production change, or external disclosure was performed.</w:t>
            </w:r>
          </w:p>
        </w:tc>
      </w:tr>
    </w:tbl>
    <w:p>
      <w:pPr>
        <w:pStyle w:val="Heading2"/>
        <w:spacing w:before="0" w:after="120" w:line="264" w:lineRule="auto"/>
      </w:pPr>
      <w:r>
        <w:rPr>
          <w:rFonts w:ascii="Hiragino Sans" w:hAnsi="Hiragino Sans" w:eastAsia="Hiragino Sans"/>
          <w:b w:val="0"/>
          <w:i w:val="0"/>
          <w:color w:val="1F2937"/>
          <w:sz w:val="22"/>
        </w:rPr>
        <w:t>Scope and handling</w:t>
      </w:r>
    </w:p>
    <w:p>
      <w:pPr>
        <w:spacing w:before="0" w:after="120" w:line="264" w:lineRule="auto"/>
      </w:pPr>
      <w:r>
        <w:rPr>
          <w:rFonts w:ascii="Hiragino Sans" w:hAnsi="Hiragino Sans" w:eastAsia="Hiragino Sans"/>
          <w:b w:val="0"/>
          <w:i w:val="0"/>
          <w:color w:val="1F2937"/>
          <w:sz w:val="22"/>
        </w:rPr>
        <w:t>A review queue assigned an incorrect retention label to an audit evidence package. No production service was changed; the issue was contained within the fictional governance workflow.</w:t>
      </w:r>
    </w:p>
    <w:p>
      <w:pPr>
        <w:pStyle w:val="Heading2"/>
        <w:spacing w:before="0" w:after="120" w:line="264" w:lineRule="auto"/>
      </w:pPr>
      <w:r>
        <w:rPr>
          <w:rFonts w:ascii="Hiragino Sans" w:hAnsi="Hiragino Sans" w:eastAsia="Hiragino Sans"/>
          <w:b w:val="0"/>
          <w:i w:val="0"/>
          <w:color w:val="1F2937"/>
          <w:sz w:val="22"/>
        </w:rPr>
        <w:t>Fact timeline</w:t>
      </w:r>
    </w:p>
    <w:p>
      <w:pPr>
        <w:spacing w:before="0" w:after="120" w:line="264" w:lineRule="auto"/>
      </w:pPr>
      <w:r>
        <w:rPr>
          <w:rFonts w:ascii="Hiragino Sans" w:hAnsi="Hiragino Sans" w:eastAsia="Hiragino Sans"/>
          <w:b w:val="0"/>
          <w:i w:val="0"/>
          <w:color w:val="1F2937"/>
          <w:sz w:val="22"/>
        </w:rPr>
        <w:t>2026-07-13: Review of the label transition, owner acknowledgement, and restoration of the approved classification.</w:t>
      </w:r>
    </w:p>
    <w:p>
      <w:pPr>
        <w:pStyle w:val="Heading2"/>
        <w:spacing w:before="0" w:after="120" w:line="264" w:lineRule="auto"/>
      </w:pPr>
      <w:r>
        <w:rPr>
          <w:rFonts w:ascii="Hiragino Sans" w:hAnsi="Hiragino Sans" w:eastAsia="Hiragino Sans"/>
          <w:b w:val="0"/>
          <w:i w:val="0"/>
          <w:color w:val="1F2937"/>
          <w:sz w:val="22"/>
        </w:rPr>
        <w:t>Contributing factor</w:t>
      </w:r>
    </w:p>
    <w:p>
      <w:pPr>
        <w:spacing w:before="0" w:after="120" w:line="264" w:lineRule="auto"/>
      </w:pPr>
      <w:r>
        <w:rPr>
          <w:rFonts w:ascii="Hiragino Sans" w:hAnsi="Hiragino Sans" w:eastAsia="Hiragino Sans"/>
          <w:b w:val="0"/>
          <w:i w:val="0"/>
          <w:color w:val="1F2937"/>
          <w:sz w:val="22"/>
        </w:rPr>
        <w:t>A handoff rule accepted a temporary owner state without requiring the classification attestation.</w:t>
      </w:r>
    </w:p>
    <w:p>
      <w:r>
        <w:br w:type="page"/>
      </w:r>
    </w:p>
    <w:p>
      <w:pPr>
        <w:pStyle w:val="Heading1"/>
        <w:spacing w:before="0" w:after="120" w:line="264" w:lineRule="auto"/>
      </w:pPr>
      <w:r>
        <w:rPr>
          <w:rFonts w:ascii="Hiragino Sans" w:hAnsi="Hiragino Sans" w:eastAsia="Hiragino Sans"/>
          <w:b w:val="0"/>
          <w:i w:val="0"/>
          <w:color w:val="1F2937"/>
          <w:sz w:val="22"/>
        </w:rPr>
        <w:t>Analysis and corrective action</w:t>
      </w:r>
    </w:p>
    <w:p>
      <w:pPr>
        <w:pStyle w:val="Heading2"/>
        <w:spacing w:before="0" w:after="120" w:line="264" w:lineRule="auto"/>
      </w:pPr>
      <w:r>
        <w:rPr>
          <w:rFonts w:ascii="Hiragino Sans" w:hAnsi="Hiragino Sans" w:eastAsia="Hiragino Sans"/>
          <w:b w:val="0"/>
          <w:i w:val="0"/>
          <w:color w:val="1F2937"/>
          <w:sz w:val="22"/>
        </w:rPr>
        <w:t>Review record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  <w:tblW w:w="9360" w:type="dxa"/>
        <w:tblInd w:w="120" w:type="dxa"/>
        <w:tblLayout w:type="fixed"/>
      </w:tblPr>
      <w:tblGrid>
        <w:gridCol w:w="2600"/>
        <w:gridCol w:w="4700"/>
        <w:gridCol w:w="2060"/>
      </w:tblGrid>
      <w:tr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after="0"/>
            </w:pPr>
            <w:r>
              <w:rPr>
                <w:rFonts w:ascii="Hiragino Sans" w:hAnsi="Hiragino Sans" w:eastAsia="Hiragino Sans"/>
                <w:b/>
                <w:i w:val="0"/>
                <w:color w:val="1F4D78"/>
                <w:sz w:val="18"/>
              </w:rPr>
              <w:t>Checkpoint</w:t>
            </w:r>
          </w:p>
        </w:tc>
        <w:tc>
          <w:tcPr>
            <w:tcW w:type="dxa" w:w="4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after="0"/>
            </w:pPr>
            <w:r>
              <w:rPr>
                <w:rFonts w:ascii="Hiragino Sans" w:hAnsi="Hiragino Sans" w:eastAsia="Hiragino Sans"/>
                <w:b/>
                <w:i w:val="0"/>
                <w:color w:val="1F4D78"/>
                <w:sz w:val="18"/>
              </w:rPr>
              <w:t>Outcome</w:t>
            </w:r>
          </w:p>
        </w:tc>
        <w:tc>
          <w:tcPr>
            <w:tcW w:type="dxa" w:w="2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after="0"/>
            </w:pPr>
            <w:r>
              <w:rPr>
                <w:rFonts w:ascii="Hiragino Sans" w:hAnsi="Hiragino Sans" w:eastAsia="Hiragino Sans"/>
                <w:b/>
                <w:i w:val="0"/>
                <w:color w:val="1F4D78"/>
                <w:sz w:val="18"/>
              </w:rPr>
              <w:t>Owner</w:t>
            </w:r>
          </w:p>
        </w:tc>
      </w:tr>
      <w:tr>
        <w:tc>
          <w:tcPr>
            <w:tcW w:type="dxa" w:w="2600"/>
          </w:tcPr>
          <w:p>
            <w:pPr>
              <w:spacing w:after="0" w:line="252" w:lineRule="auto"/>
            </w:pPr>
            <w:r>
              <w:rPr>
                <w:rFonts w:ascii="Hiragino Sans" w:hAnsi="Hiragino Sans" w:eastAsia="Hiragino Sans"/>
                <w:b w:val="0"/>
                <w:i w:val="0"/>
                <w:color w:val="1F2937"/>
                <w:sz w:val="18"/>
              </w:rPr>
              <w:t>Intake triage</w:t>
            </w:r>
          </w:p>
        </w:tc>
        <w:tc>
          <w:tcPr>
            <w:tcW w:type="dxa" w:w="4700"/>
          </w:tcPr>
          <w:p>
            <w:pPr>
              <w:spacing w:after="0" w:line="252" w:lineRule="auto"/>
            </w:pPr>
            <w:r>
              <w:rPr>
                <w:rFonts w:ascii="Hiragino Sans" w:hAnsi="Hiragino Sans" w:eastAsia="Hiragino Sans"/>
                <w:b w:val="0"/>
                <w:i w:val="0"/>
                <w:color w:val="1F2937"/>
                <w:sz w:val="18"/>
              </w:rPr>
              <w:t>Classified as a governance-control variance; scope bounded.</w:t>
            </w:r>
          </w:p>
        </w:tc>
        <w:tc>
          <w:tcPr>
            <w:tcW w:type="dxa" w:w="2060"/>
          </w:tcPr>
          <w:p>
            <w:pPr>
              <w:spacing w:after="0" w:line="252" w:lineRule="auto"/>
            </w:pPr>
            <w:r>
              <w:rPr>
                <w:rFonts w:ascii="Hiragino Sans" w:hAnsi="Hiragino Sans" w:eastAsia="Hiragino Sans"/>
                <w:b w:val="0"/>
                <w:i w:val="0"/>
                <w:color w:val="1F2937"/>
                <w:sz w:val="18"/>
              </w:rPr>
              <w:t>GRC Analyst</w:t>
            </w:r>
          </w:p>
        </w:tc>
      </w:tr>
      <w:tr>
        <w:tc>
          <w:tcPr>
            <w:tcW w:type="dxa" w:w="2600"/>
          </w:tcPr>
          <w:p>
            <w:pPr>
              <w:spacing w:after="0" w:line="252" w:lineRule="auto"/>
            </w:pPr>
            <w:r>
              <w:rPr>
                <w:rFonts w:ascii="Hiragino Sans" w:hAnsi="Hiragino Sans" w:eastAsia="Hiragino Sans"/>
                <w:b w:val="0"/>
                <w:i w:val="0"/>
                <w:color w:val="1F2937"/>
                <w:sz w:val="18"/>
              </w:rPr>
              <w:t>Containment</w:t>
            </w:r>
          </w:p>
        </w:tc>
        <w:tc>
          <w:tcPr>
            <w:tcW w:type="dxa" w:w="4700"/>
          </w:tcPr>
          <w:p>
            <w:pPr>
              <w:spacing w:after="0" w:line="252" w:lineRule="auto"/>
            </w:pPr>
            <w:r>
              <w:rPr>
                <w:rFonts w:ascii="Hiragino Sans" w:hAnsi="Hiragino Sans" w:eastAsia="Hiragino Sans"/>
                <w:b w:val="0"/>
                <w:i w:val="0"/>
                <w:color w:val="1F2937"/>
                <w:sz w:val="18"/>
              </w:rPr>
              <w:t>The analyst froze label edits, the AC-27 owner restored the approved mapping, and the records coordinator compared the pre- and post-change audit trail.</w:t>
            </w:r>
          </w:p>
        </w:tc>
        <w:tc>
          <w:tcPr>
            <w:tcW w:type="dxa" w:w="2060"/>
          </w:tcPr>
          <w:p>
            <w:pPr>
              <w:spacing w:after="0" w:line="252" w:lineRule="auto"/>
            </w:pPr>
            <w:r>
              <w:rPr>
                <w:rFonts w:ascii="Hiragino Sans" w:hAnsi="Hiragino Sans" w:eastAsia="Hiragino Sans"/>
                <w:b w:val="0"/>
                <w:i w:val="0"/>
                <w:color w:val="1F2937"/>
                <w:sz w:val="18"/>
              </w:rPr>
              <w:t>Control Owner</w:t>
            </w:r>
          </w:p>
        </w:tc>
      </w:tr>
      <w:tr>
        <w:tc>
          <w:tcPr>
            <w:tcW w:type="dxa" w:w="2600"/>
          </w:tcPr>
          <w:p>
            <w:pPr>
              <w:spacing w:after="0" w:line="252" w:lineRule="auto"/>
            </w:pPr>
            <w:r>
              <w:rPr>
                <w:rFonts w:ascii="Hiragino Sans" w:hAnsi="Hiragino Sans" w:eastAsia="Hiragino Sans"/>
                <w:b w:val="0"/>
                <w:i w:val="0"/>
                <w:color w:val="1F2937"/>
                <w:sz w:val="18"/>
              </w:rPr>
              <w:t>Preventive action</w:t>
            </w:r>
          </w:p>
        </w:tc>
        <w:tc>
          <w:tcPr>
            <w:tcW w:type="dxa" w:w="4700"/>
          </w:tcPr>
          <w:p>
            <w:pPr>
              <w:spacing w:after="0" w:line="252" w:lineRule="auto"/>
            </w:pPr>
            <w:r>
              <w:rPr>
                <w:rFonts w:ascii="Hiragino Sans" w:hAnsi="Hiragino Sans" w:eastAsia="Hiragino Sans"/>
                <w:b w:val="0"/>
                <w:i w:val="0"/>
                <w:color w:val="1F2937"/>
                <w:sz w:val="18"/>
              </w:rPr>
              <w:t>Sample the next five ownership transitions and reconcile label plus attestation state.</w:t>
            </w:r>
          </w:p>
        </w:tc>
        <w:tc>
          <w:tcPr>
            <w:tcW w:type="dxa" w:w="2060"/>
          </w:tcPr>
          <w:p>
            <w:pPr>
              <w:spacing w:after="0" w:line="252" w:lineRule="auto"/>
            </w:pPr>
            <w:r>
              <w:rPr>
                <w:rFonts w:ascii="Hiragino Sans" w:hAnsi="Hiragino Sans" w:eastAsia="Hiragino Sans"/>
                <w:b w:val="0"/>
                <w:i w:val="0"/>
                <w:color w:val="1F2937"/>
                <w:sz w:val="18"/>
              </w:rPr>
              <w:t>Assurance Reviewer</w:t>
            </w:r>
          </w:p>
        </w:tc>
      </w:tr>
      <w:tr>
        <w:tc>
          <w:tcPr>
            <w:tcW w:type="dxa" w:w="2600"/>
          </w:tcPr>
          <w:p>
            <w:pPr>
              <w:spacing w:after="0" w:line="252" w:lineRule="auto"/>
            </w:pPr>
            <w:r>
              <w:rPr>
                <w:rFonts w:ascii="Hiragino Sans" w:hAnsi="Hiragino Sans" w:eastAsia="Hiragino Sans"/>
                <w:b w:val="0"/>
                <w:i w:val="0"/>
                <w:color w:val="1F2937"/>
                <w:sz w:val="18"/>
              </w:rPr>
              <w:t>Due date</w:t>
            </w:r>
          </w:p>
        </w:tc>
        <w:tc>
          <w:tcPr>
            <w:tcW w:type="dxa" w:w="4700"/>
          </w:tcPr>
          <w:p>
            <w:pPr>
              <w:spacing w:after="0" w:line="252" w:lineRule="auto"/>
            </w:pPr>
            <w:r>
              <w:rPr>
                <w:rFonts w:ascii="Hiragino Sans" w:hAnsi="Hiragino Sans" w:eastAsia="Hiragino Sans"/>
                <w:b w:val="0"/>
                <w:i w:val="0"/>
                <w:color w:val="1F2937"/>
                <w:sz w:val="18"/>
              </w:rPr>
              <w:t>2026-07-20</w:t>
            </w:r>
          </w:p>
        </w:tc>
        <w:tc>
          <w:tcPr>
            <w:tcW w:type="dxa" w:w="2060"/>
          </w:tcPr>
          <w:p>
            <w:pPr>
              <w:spacing w:after="0" w:line="252" w:lineRule="auto"/>
            </w:pPr>
            <w:r>
              <w:rPr>
                <w:rFonts w:ascii="Hiragino Sans" w:hAnsi="Hiragino Sans" w:eastAsia="Hiragino Sans"/>
                <w:b w:val="0"/>
                <w:i w:val="0"/>
                <w:color w:val="1F2937"/>
                <w:sz w:val="18"/>
              </w:rPr>
              <w:t>Accountable owner</w:t>
            </w:r>
          </w:p>
        </w:tc>
      </w:tr>
    </w:tbl>
    <w:p>
      <w:pPr>
        <w:pStyle w:val="Heading2"/>
        <w:spacing w:before="0" w:after="120" w:line="264" w:lineRule="auto"/>
      </w:pPr>
      <w:r>
        <w:rPr>
          <w:rFonts w:ascii="Hiragino Sans" w:hAnsi="Hiragino Sans" w:eastAsia="Hiragino Sans"/>
          <w:b w:val="0"/>
          <w:i w:val="0"/>
          <w:color w:val="1F2937"/>
          <w:sz w:val="22"/>
        </w:rPr>
        <w:t>Corrective actions</w:t>
      </w:r>
    </w:p>
    <w:p>
      <w:pPr>
        <w:spacing w:after="100"/>
        <w:ind w:left="360" w:hanging="259"/>
      </w:pPr>
      <w:r>
        <w:rPr>
          <w:rFonts w:ascii="Hiragino Sans" w:hAnsi="Hiragino Sans" w:eastAsia="Hiragino Sans"/>
          <w:b w:val="0"/>
          <w:i w:val="0"/>
          <w:color w:val="1F2937"/>
          <w:sz w:val="20"/>
        </w:rPr>
        <w:t>• The analyst froze label edits, the AC-27 owner restored the approved mapping, and the records coordinator compared the pre- and post-change audit trail.</w:t>
      </w:r>
    </w:p>
    <w:p>
      <w:pPr>
        <w:spacing w:after="100"/>
        <w:ind w:left="360" w:hanging="259"/>
      </w:pPr>
      <w:r>
        <w:rPr>
          <w:rFonts w:ascii="Hiragino Sans" w:hAnsi="Hiragino Sans" w:eastAsia="Hiragino Sans"/>
          <w:b w:val="0"/>
          <w:i w:val="0"/>
          <w:color w:val="1F2937"/>
          <w:sz w:val="20"/>
        </w:rPr>
        <w:t>• Sample the next five ownership transitions and reconcile label plus attestation state.</w:t>
      </w:r>
    </w:p>
    <w:p>
      <w:pPr>
        <w:pStyle w:val="Heading2"/>
        <w:spacing w:before="0" w:after="120" w:line="264" w:lineRule="auto"/>
      </w:pPr>
      <w:r>
        <w:rPr>
          <w:rFonts w:ascii="Hiragino Sans" w:hAnsi="Hiragino Sans" w:eastAsia="Hiragino Sans"/>
          <w:b w:val="0"/>
          <w:i w:val="0"/>
          <w:color w:val="1F2937"/>
          <w:sz w:val="22"/>
        </w:rPr>
        <w:t>Closure statement</w:t>
      </w:r>
    </w:p>
    <w:p>
      <w:pPr>
        <w:spacing w:before="0" w:after="120" w:line="264" w:lineRule="auto"/>
      </w:pPr>
      <w:r>
        <w:rPr>
          <w:rFonts w:ascii="Hiragino Sans" w:hAnsi="Hiragino Sans" w:eastAsia="Hiragino Sans"/>
          <w:b w:val="0"/>
          <w:i w:val="0"/>
          <w:color w:val="1F2937"/>
          <w:sz w:val="22"/>
        </w:rPr>
        <w:t>Closure rests on matching hash, restored label, signed owner acknowledgement, and a scheduled transition sample. Residual risk: a future temporary owner could omit an attestation until the new gate is monitored. This fictional record is limited to defensive audit and control-assurance work.</w:t>
      </w:r>
    </w:p>
    <w:p>
      <w:pPr>
        <w:spacing w:before="0" w:after="0" w:line="264" w:lineRule="auto"/>
      </w:pPr>
      <w:r>
        <w:rPr>
          <w:rFonts w:ascii="Hiragino Sans" w:hAnsi="Hiragino Sans" w:eastAsia="Hiragino Sans"/>
          <w:b w:val="0"/>
          <w:i/>
          <w:color w:val="5B6573"/>
          <w:sz w:val="17"/>
        </w:rPr>
        <w:t>Anchor record: Cobalt Harbor; Aegis Control AC-27; 2026-07-13; evidence set 184; RISK-031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Hiragino Sans" w:hAnsi="Hiragino Sans" w:eastAsia="Hiragino Sans"/>
        <w:b w:val="0"/>
        <w:i w:val="0"/>
        <w:color w:val="5B6573"/>
        <w:sz w:val="16"/>
      </w:rPr>
      <w:t>Internal fictional governance record | ja-JP / EN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>
      <w:rPr>
        <w:rFonts w:ascii="Hiragino Sans" w:hAnsi="Hiragino Sans" w:eastAsia="Hiragino Sans"/>
        <w:b w:val="0"/>
        <w:i w:val="0"/>
        <w:color w:val="5B6573"/>
        <w:sz w:val="17"/>
      </w:rPr>
      <w:t>Cobalt Harbor Systems | Security &amp; GRC | INC-260713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4" w:lineRule="auto"/>
    </w:pPr>
    <w:rPr>
      <w:rFonts w:ascii="Hiragino Sans" w:hAnsi="Hiragino Sans" w:eastAsia="Hiragino Sans"/>
      <w:color w:val="1F2937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 w:line="264" w:lineRule="auto"/>
      <w:outlineLvl w:val="0"/>
    </w:pPr>
    <w:rPr>
      <w:rFonts w:asciiTheme="majorHAnsi" w:eastAsiaTheme="majorEastAsia" w:hAnsiTheme="majorHAnsi" w:cstheme="majorBidi" w:ascii="Hiragino Sans" w:hAnsi="Hiragino Sans" w:eastAsia="Hiragino Sans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 w:line="264" w:lineRule="auto"/>
      <w:outlineLvl w:val="1"/>
    </w:pPr>
    <w:rPr>
      <w:rFonts w:asciiTheme="majorHAnsi" w:eastAsiaTheme="majorEastAsia" w:hAnsiTheme="majorHAnsi" w:cstheme="majorBidi" w:ascii="Hiragino Sans" w:hAnsi="Hiragino Sans" w:eastAsia="Hiragino Sans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 w:line="264" w:lineRule="auto"/>
      <w:outlineLvl w:val="2"/>
    </w:pPr>
    <w:rPr>
      <w:rFonts w:asciiTheme="majorHAnsi" w:eastAsiaTheme="majorEastAsia" w:hAnsiTheme="majorHAnsi" w:cstheme="majorBidi" w:ascii="Hiragino Sans" w:hAnsi="Hiragino Sans" w:eastAsia="Hiragino Sans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