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/>
          <w:b/>
          <w:color w:val="1F4D78"/>
          <w:sz w:val="36"/>
        </w:rPr>
        <w:t>API-A7-11352 API Contract Assurance</w:t>
      </w:r>
    </w:p>
    <w:p>
      <w:pPr>
        <w:spacing w:before="0" w:after="280" w:line="264" w:lineRule="auto"/>
      </w:pPr>
      <w:r>
        <w:rPr>
          <w:rFonts w:ascii="Calibri" w:hAnsi="Calibri"/>
          <w:b w:val="0"/>
          <w:color w:val="4F6475"/>
          <w:sz w:val="20"/>
        </w:rPr>
        <w:t>Technical memo | reviewed synthetic evidence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Artifact: </w:t>
      </w:r>
      <w:r>
        <w:rPr>
          <w:rFonts w:ascii="Calibri" w:hAnsi="Calibri"/>
          <w:sz w:val="20"/>
        </w:rPr>
        <w:t>p01-full-011352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Source: </w:t>
      </w:r>
      <w:r>
        <w:rPr>
          <w:rFonts w:ascii="Calibri" w:hAnsi="Calibri"/>
          <w:sz w:val="20"/>
        </w:rPr>
        <w:t>p01-src-011352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Dependency: </w:t>
      </w:r>
      <w:r>
        <w:rPr>
          <w:rFonts w:ascii="Calibri" w:hAnsi="Calibri"/>
          <w:sz w:val="20"/>
        </w:rPr>
        <w:t>p01-full-003812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Review date: </w:t>
      </w:r>
      <w:r>
        <w:rPr>
          <w:rFonts w:ascii="Calibri" w:hAnsi="Calibri"/>
          <w:sz w:val="20"/>
        </w:rPr>
        <w:t>2026-07-20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Target and reference: </w:t>
      </w:r>
      <w:r>
        <w:rPr>
          <w:rFonts w:ascii="Calibri" w:hAnsi="Calibri"/>
          <w:sz w:val="20"/>
        </w:rPr>
        <w:t>200 ms p95 target; 184 ms accepted release-gate reference</w:t>
      </w:r>
    </w:p>
    <w:p>
      <w:pPr>
        <w:spacing w:before="240" w:after="100" w:line="264" w:lineRule="auto"/>
      </w:pPr>
      <w:r>
        <w:rPr>
          <w:rFonts w:ascii="Calibri" w:hAnsi="Calibri"/>
          <w:b/>
          <w:color w:val="2E74B5"/>
          <w:sz w:val="26"/>
        </w:rPr>
        <w:t>Purpose</w:t>
      </w:r>
    </w:p>
    <w:p>
      <w:pPr>
        <w:spacing w:before="0" w:after="140" w:line="264" w:lineRule="auto"/>
      </w:pPr>
      <w:r>
        <w:rPr>
          <w:rFonts w:ascii="Calibri" w:hAnsi="Calibri"/>
          <w:b w:val="0"/>
          <w:color w:val="000000"/>
          <w:sz w:val="22"/>
        </w:rPr>
        <w:t>This one-page memo records the reviewed release gate contract for Product Alpha R7. Contract API-A7-11352 is linked to source p01-src-011352; dependency p01-full-003812 supplies the scope-local engineering evidence.</w:t>
      </w:r>
    </w:p>
    <w:p>
      <w:pPr>
        <w:spacing w:before="140" w:after="100" w:line="264" w:lineRule="auto"/>
      </w:pPr>
      <w:r>
        <w:rPr>
          <w:rFonts w:ascii="Calibri" w:hAnsi="Calibri"/>
          <w:b/>
          <w:color w:val="2E74B5"/>
          <w:sz w:val="26"/>
        </w:rPr>
        <w:t>Compatibility decision</w:t>
      </w:r>
    </w:p>
    <w:p>
      <w:pPr>
        <w:spacing w:before="0" w:after="140" w:line="264" w:lineRule="auto"/>
      </w:pPr>
      <w:r>
        <w:rPr>
          <w:rFonts w:ascii="Calibri" w:hAnsi="Calibri"/>
          <w:b w:val="0"/>
          <w:color w:val="000000"/>
          <w:sz w:val="22"/>
        </w:rPr>
        <w:t>The interface follows additive-before-removal compatibility. ADR-042 retains the asynchronous release gate. The 200 ms p95 figure is a target, while 184 ms is the accepted shared reference rather than an endpoint measurement.</w:t>
      </w:r>
    </w:p>
    <w:p>
      <w:pPr>
        <w:spacing w:before="140" w:after="100" w:line="264" w:lineRule="auto"/>
      </w:pPr>
      <w:r>
        <w:rPr>
          <w:rFonts w:ascii="Calibri" w:hAnsi="Calibri"/>
          <w:b/>
          <w:color w:val="2E74B5"/>
          <w:sz w:val="26"/>
        </w:rPr>
        <w:t>Review outcome</w:t>
      </w:r>
    </w:p>
    <w:p>
      <w:pPr>
        <w:spacing w:before="0" w:after="0" w:line="264" w:lineRule="auto"/>
      </w:pPr>
      <w:r>
        <w:rPr>
          <w:rFonts w:ascii="Calibri" w:hAnsi="Calibri"/>
          <w:b w:val="0"/>
          <w:color w:val="000000"/>
          <w:sz w:val="22"/>
        </w:rPr>
        <w:t>API-A7-11352 is reviewed on 2026-07-20. This Aster Loop record is fully synthetic and contains no credentials, personal information, customer data, or production addresses.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F6475"/>
        <w:sz w:val="16"/>
      </w:rPr>
      <w:t>Synthetic internal record 10/12 | p01-primary-02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4F6475"/>
        <w:sz w:val="16"/>
      </w:rPr>
      <w:t>Aster Loop | Product Alpha R7 | API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API-A7-11352 API Contract Assurance</dc:title>
  <dc:subject/>
  <dc:creator>Aster Loop Product Engineering (synthetic)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