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2"/>
        </w:rPr>
        <w:t>PRODUCT BETA R4 | ARCHITECTURE REVIEW</w:t>
      </w:r>
    </w:p>
    <w:p>
      <w:r>
        <w:rPr>
          <w:b/>
          <w:color w:val="1F4D78"/>
          <w:sz w:val="24"/>
        </w:rPr>
        <w:t>Review brief</w:t>
      </w:r>
    </w:p>
    <w:p>
      <w:r>
        <w:t>Aster Loop | Review date 2026-08-17 | Design p95 measure: 225 ms</w:t>
      </w:r>
    </w:p>
    <w:p>
      <w:r>
        <w:rPr>
          <w:b/>
          <w:color w:val="1F4D78"/>
          <w:sz w:val="24"/>
        </w:rPr>
        <w:t>Traceability</w:t>
      </w:r>
    </w:p>
    <w:p>
      <w:r>
        <w:t>Artifact ID: p01-full-002053</w:t>
      </w:r>
    </w:p>
    <w:p>
      <w:r>
        <w:t>Source ID: p01-src-002053</w:t>
      </w:r>
    </w:p>
    <w:p>
      <w:r>
        <w:t>Dependency: p01-full-003681</w:t>
      </w:r>
    </w:p>
    <w:p>
      <w:r>
        <w:t>Dependency path: documents/work/product-beta/architecture/beta-r4-architecture-yaml-src-003681.yaml</w:t>
      </w:r>
    </w:p>
    <w:p>
      <w:r>
        <w:rPr>
          <w:b/>
          <w:color w:val="1F4D78"/>
          <w:sz w:val="24"/>
        </w:rPr>
        <w:t>Decision record</w:t>
      </w:r>
    </w:p>
    <w:p>
      <w:r>
        <w:t>This one-page brief records a synthetic Product Beta R4 architecture review. The dependency supplies the structured evidence; the document explains the event boundary, review intent, and 225 ms design target without presenting it as observed production performance.</w:t>
      </w:r>
    </w:p>
    <w:p>
      <w:r>
        <w:rPr>
          <w:b/>
          <w:color w:val="1F4D78"/>
          <w:sz w:val="24"/>
        </w:rPr>
        <w:t>Review outcome</w:t>
      </w:r>
    </w:p>
    <w:p>
      <w:r>
        <w:t>The 002053 evidence route is ready for controlled review. Ownership, replay behavior, and schema compatibility remain explicit in the referenced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