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0B2545"/>
          <w:sz w:val="44"/>
        </w:rPr>
        <w:t>HF-Eval Dataset Assurance Note</w:t>
      </w:r>
    </w:p>
    <w:p>
      <w:pPr>
        <w:spacing w:after="240"/>
      </w:pPr>
      <w:r>
        <w:rPr>
          <w:rFonts w:ascii="Calibri" w:hAnsi="Calibri"/>
          <w:i/>
          <w:color w:val="5B6770"/>
          <w:sz w:val="20"/>
        </w:rPr>
        <w:t>HF-Eval-S1/S2 v3.2 / synthetic evaluation controls / 2026-07-13</w:t>
      </w:r>
    </w:p>
    <w:p>
      <w:pPr>
        <w:pStyle w:val="Heading1"/>
      </w:pPr>
      <w:r>
        <w:rPr>
          <w:rFonts w:ascii="Calibri" w:hAnsi="Calibri"/>
        </w:rPr>
        <w:t>Assurance statement</w:t>
      </w:r>
    </w:p>
    <w:p>
      <w:r>
        <w:rPr>
          <w:rFonts w:ascii="Calibri" w:hAnsi="Calibri"/>
        </w:rPr>
        <w:t>HF-Eval-S1/S2 v3.2 is a synthetic evaluation asset maintained by Helix Forge Lab for bounded research comparison. It contains 2,400 synthetic records: S1 has 1,600 records and S2 has 800 records. The asset is designed to make scoring repeatable, not to represent a population or a production environment.</w:t>
      </w:r>
    </w:p>
    <w:p>
      <w:pPr>
        <w:pStyle w:val="Heading1"/>
      </w:pPr>
      <w:r>
        <w:rPr>
          <w:rFonts w:ascii="Calibri" w:hAnsi="Calibri"/>
        </w:rPr>
        <w:t>Dataset inventory</w:t>
      </w:r>
    </w:p>
    <w:tbl>
      <w:tblPr>
        <w:tblW w:w="9360" w:type="dxa"/>
        <w:tblInd w:w="120" w:type="dxa"/>
        <w:tblStyle w:val="TableGrid"/>
        <w:jc w:val="left"/>
        <w:tblLook w:firstColumn="1" w:firstRow="1" w:lastColumn="0" w:lastRow="0" w:noHBand="0" w:noVBand="1" w:val="04A0"/>
        <w:tblLayout w:type="fixed"/>
      </w:tblPr>
      <w:tblGrid>
        <w:gridCol w:w="1500"/>
        <w:gridCol w:w="1200"/>
        <w:gridCol w:w="3000"/>
        <w:gridCol w:w="3660"/>
      </w:tblGrid>
      <w:tr>
        <w:tc>
          <w:tcPr>
            <w:tcW w:type="dxa" w:w="1500"/>
            <w:tcMar>
              <w:top w:w="80" w:type="dxa"/>
              <w:start w:w="120" w:type="dxa"/>
              <w:bottom w:w="80" w:type="dxa"/>
              <w:end w:w="120" w:type="dxa"/>
            </w:tcMar>
            <w:vAlign w:val="center"/>
            <w:shd w:fill="F2F4F7"/>
          </w:tcPr>
          <w:p>
            <w:pPr>
              <w:jc w:val="left"/>
            </w:pPr>
            <w:r>
              <w:rPr>
                <w:rFonts w:ascii="Calibri" w:hAnsi="Calibri"/>
                <w:b/>
                <w:color w:val="0B2545"/>
                <w:sz w:val="20"/>
              </w:rPr>
              <w:t>Partition</w:t>
            </w:r>
          </w:p>
        </w:tc>
        <w:tc>
          <w:tcPr>
            <w:tcW w:type="dxa" w:w="1200"/>
            <w:tcMar>
              <w:top w:w="80" w:type="dxa"/>
              <w:start w:w="120" w:type="dxa"/>
              <w:bottom w:w="80" w:type="dxa"/>
              <w:end w:w="120" w:type="dxa"/>
            </w:tcMar>
            <w:vAlign w:val="center"/>
            <w:shd w:fill="F2F4F7"/>
          </w:tcPr>
          <w:p>
            <w:pPr>
              <w:jc w:val="left"/>
            </w:pPr>
            <w:r>
              <w:rPr>
                <w:rFonts w:ascii="Calibri" w:hAnsi="Calibri"/>
                <w:b/>
                <w:color w:val="0B2545"/>
                <w:sz w:val="20"/>
              </w:rPr>
              <w:t>Records</w:t>
            </w:r>
          </w:p>
        </w:tc>
        <w:tc>
          <w:tcPr>
            <w:tcW w:type="dxa" w:w="3000"/>
            <w:tcMar>
              <w:top w:w="80" w:type="dxa"/>
              <w:start w:w="120" w:type="dxa"/>
              <w:bottom w:w="80" w:type="dxa"/>
              <w:end w:w="120" w:type="dxa"/>
            </w:tcMar>
            <w:vAlign w:val="center"/>
            <w:shd w:fill="F2F4F7"/>
          </w:tcPr>
          <w:p>
            <w:pPr>
              <w:jc w:val="left"/>
            </w:pPr>
            <w:r>
              <w:rPr>
                <w:rFonts w:ascii="Calibri" w:hAnsi="Calibri"/>
                <w:b/>
                <w:color w:val="0B2545"/>
                <w:sz w:val="20"/>
              </w:rPr>
              <w:t>Function</w:t>
            </w:r>
          </w:p>
        </w:tc>
        <w:tc>
          <w:tcPr>
            <w:tcW w:type="dxa" w:w="3660"/>
            <w:tcMar>
              <w:top w:w="80" w:type="dxa"/>
              <w:start w:w="120" w:type="dxa"/>
              <w:bottom w:w="80" w:type="dxa"/>
              <w:end w:w="120" w:type="dxa"/>
            </w:tcMar>
            <w:vAlign w:val="center"/>
            <w:shd w:fill="F2F4F7"/>
          </w:tcPr>
          <w:p>
            <w:pPr>
              <w:jc w:val="left"/>
            </w:pPr>
            <w:r>
              <w:rPr>
                <w:rFonts w:ascii="Calibri" w:hAnsi="Calibri"/>
                <w:b/>
                <w:color w:val="0B2545"/>
                <w:sz w:val="20"/>
              </w:rPr>
              <w:t>Labels</w:t>
            </w:r>
          </w:p>
        </w:tc>
      </w:tr>
      <w:tr>
        <w:tc>
          <w:tcPr>
            <w:tcW w:type="dxa" w:w="1500"/>
          </w:tcPr>
          <w:p>
            <w:r>
              <w:rPr>
                <w:rFonts w:ascii="Calibri" w:hAnsi="Calibri"/>
                <w:sz w:val="20"/>
              </w:rPr>
              <w:t>S1</w:t>
            </w:r>
          </w:p>
        </w:tc>
        <w:tc>
          <w:tcPr>
            <w:tcW w:type="dxa" w:w="1200"/>
          </w:tcPr>
          <w:p>
            <w:r>
              <w:rPr>
                <w:rFonts w:ascii="Calibri" w:hAnsi="Calibri"/>
                <w:sz w:val="20"/>
              </w:rPr>
              <w:t>1,600</w:t>
            </w:r>
          </w:p>
        </w:tc>
        <w:tc>
          <w:tcPr>
            <w:tcW w:type="dxa" w:w="3000"/>
          </w:tcPr>
          <w:p>
            <w:r>
              <w:rPr>
                <w:rFonts w:ascii="Calibri" w:hAnsi="Calibri"/>
                <w:sz w:val="20"/>
              </w:rPr>
              <w:t>Primary controlled assessment</w:t>
            </w:r>
          </w:p>
        </w:tc>
        <w:tc>
          <w:tcPr>
            <w:tcW w:type="dxa" w:w="3660"/>
          </w:tcPr>
          <w:p>
            <w:r>
              <w:rPr>
                <w:rFonts w:ascii="Calibri" w:hAnsi="Calibri"/>
                <w:sz w:val="20"/>
              </w:rPr>
              <w:t>inquiry; confirmation; revision; escalation; closure</w:t>
            </w:r>
          </w:p>
        </w:tc>
      </w:tr>
      <w:tr>
        <w:tc>
          <w:tcPr>
            <w:tcW w:type="dxa" w:w="1500"/>
          </w:tcPr>
          <w:p>
            <w:r>
              <w:rPr>
                <w:rFonts w:ascii="Calibri" w:hAnsi="Calibri"/>
                <w:sz w:val="20"/>
              </w:rPr>
              <w:t>S2</w:t>
            </w:r>
          </w:p>
        </w:tc>
        <w:tc>
          <w:tcPr>
            <w:tcW w:type="dxa" w:w="1200"/>
          </w:tcPr>
          <w:p>
            <w:r>
              <w:rPr>
                <w:rFonts w:ascii="Calibri" w:hAnsi="Calibri"/>
                <w:sz w:val="20"/>
              </w:rPr>
              <w:t>800</w:t>
            </w:r>
          </w:p>
        </w:tc>
        <w:tc>
          <w:tcPr>
            <w:tcW w:type="dxa" w:w="3000"/>
          </w:tcPr>
          <w:p>
            <w:r>
              <w:rPr>
                <w:rFonts w:ascii="Calibri" w:hAnsi="Calibri"/>
                <w:sz w:val="20"/>
              </w:rPr>
              <w:t>Independent consistency check</w:t>
            </w:r>
          </w:p>
        </w:tc>
        <w:tc>
          <w:tcPr>
            <w:tcW w:type="dxa" w:w="3660"/>
          </w:tcPr>
          <w:p>
            <w:r>
              <w:rPr>
                <w:rFonts w:ascii="Calibri" w:hAnsi="Calibri"/>
                <w:sz w:val="20"/>
              </w:rPr>
              <w:t>same five synthetic intent labels</w:t>
            </w:r>
          </w:p>
        </w:tc>
      </w:tr>
      <w:tr>
        <w:tc>
          <w:tcPr>
            <w:tcW w:type="dxa" w:w="1500"/>
          </w:tcPr>
          <w:p>
            <w:r>
              <w:rPr>
                <w:rFonts w:ascii="Calibri" w:hAnsi="Calibri"/>
                <w:sz w:val="20"/>
              </w:rPr>
              <w:t>Total</w:t>
            </w:r>
          </w:p>
        </w:tc>
        <w:tc>
          <w:tcPr>
            <w:tcW w:type="dxa" w:w="1200"/>
          </w:tcPr>
          <w:p>
            <w:r>
              <w:rPr>
                <w:rFonts w:ascii="Calibri" w:hAnsi="Calibri"/>
                <w:sz w:val="20"/>
              </w:rPr>
              <w:t>2,400</w:t>
            </w:r>
          </w:p>
        </w:tc>
        <w:tc>
          <w:tcPr>
            <w:tcW w:type="dxa" w:w="3000"/>
          </w:tcPr>
          <w:p>
            <w:r>
              <w:rPr>
                <w:rFonts w:ascii="Calibri" w:hAnsi="Calibri"/>
                <w:sz w:val="20"/>
              </w:rPr>
              <w:t>Frozen evaluation frame</w:t>
            </w:r>
          </w:p>
        </w:tc>
        <w:tc>
          <w:tcPr>
            <w:tcW w:type="dxa" w:w="3660"/>
          </w:tcPr>
          <w:p>
            <w:r>
              <w:rPr>
                <w:rFonts w:ascii="Calibri" w:hAnsi="Calibri"/>
                <w:sz w:val="20"/>
              </w:rPr>
              <w:t>five labels</w:t>
            </w:r>
          </w:p>
        </w:tc>
      </w:tr>
    </w:tbl>
    <w:p>
      <w:pPr>
        <w:spacing w:before="80" w:after="80"/>
      </w:pPr>
      <w:r>
        <w:rPr>
          <w:rFonts w:ascii="Calibri" w:hAnsi="Calibri"/>
          <w:i/>
          <w:color w:val="5B6770"/>
          <w:sz w:val="18"/>
        </w:rPr>
        <w:t>Assurance scope: synthetic content only; record counts are fixed for the R184 evaluation family.</w:t>
      </w:r>
    </w:p>
    <w:p>
      <w:pPr>
        <w:pStyle w:val="Heading1"/>
      </w:pPr>
      <w:r>
        <w:rPr>
          <w:rFonts w:ascii="Calibri" w:hAnsi="Calibri"/>
        </w:rPr>
        <w:t>Labeling protocol</w:t>
      </w:r>
    </w:p>
    <w:p>
      <w:r>
        <w:rPr>
          <w:rFonts w:ascii="Calibri" w:hAnsi="Calibri"/>
        </w:rPr>
        <w:t>Labels encode the intended next-step function of each synthetic prompt. Inquiry requests information; confirmation accepts or verifies a prior proposal; revision changes a stated constraint; escalation requests additional attention; closure ends the interaction. Ambiguous examples are retained as review cases rather than treated as ground-truth certainty.</w:t>
      </w:r>
    </w:p>
    <w:p>
      <w:r>
        <w:br w:type="page"/>
      </w:r>
    </w:p>
    <w:p>
      <w:pPr>
        <w:pStyle w:val="Heading1"/>
      </w:pPr>
      <w:r>
        <w:rPr>
          <w:rFonts w:ascii="Calibri" w:hAnsi="Calibri"/>
        </w:rPr>
        <w:t>Provenance and handling</w:t>
      </w:r>
    </w:p>
    <w:p>
      <w:pPr>
        <w:pStyle w:val="ListBullet"/>
      </w:pPr>
      <w:r>
        <w:rPr>
          <w:rFonts w:ascii="Calibri" w:hAnsi="Calibri"/>
        </w:rPr>
        <w:t>All records are fictional and purpose-built; the corpus contains no personal information, credentials, or source-attributed material.</w:t>
      </w:r>
    </w:p>
    <w:p>
      <w:pPr>
        <w:pStyle w:val="ListBullet"/>
      </w:pPr>
      <w:r>
        <w:rPr>
          <w:rFonts w:ascii="Calibri" w:hAnsi="Calibri"/>
        </w:rPr>
        <w:t>The release is treated as immutable during a run. Any wording, label, or split change requires a version increment and a new evaluation record.</w:t>
      </w:r>
    </w:p>
    <w:p>
      <w:pPr>
        <w:pStyle w:val="ListBullet"/>
      </w:pPr>
      <w:r>
        <w:rPr>
          <w:rFonts w:ascii="Calibri" w:hAnsi="Calibri"/>
        </w:rPr>
        <w:t>Access is limited to offline review artifacts. The dataset is not a collection channel and must not be joined to external or live data.</w:t>
      </w:r>
    </w:p>
    <w:p>
      <w:pPr>
        <w:pStyle w:val="Heading1"/>
      </w:pPr>
      <w:r>
        <w:rPr>
          <w:rFonts w:ascii="Calibri" w:hAnsi="Calibri"/>
        </w:rPr>
        <w:t>Assurance checks</w:t>
      </w:r>
    </w:p>
    <w:tbl>
      <w:tblPr>
        <w:tblW w:w="9360" w:type="dxa"/>
        <w:tblInd w:w="120" w:type="dxa"/>
        <w:tblStyle w:val="TableGrid"/>
        <w:jc w:val="left"/>
        <w:tblLook w:firstColumn="1" w:firstRow="1" w:lastColumn="0" w:lastRow="0" w:noHBand="0" w:noVBand="1" w:val="04A0"/>
        <w:tblLayout w:type="fixed"/>
      </w:tblPr>
      <w:tblGrid>
        <w:gridCol w:w="2100"/>
        <w:gridCol w:w="5100"/>
        <w:gridCol w:w="2160"/>
      </w:tblGrid>
      <w:tr>
        <w:tc>
          <w:tcPr>
            <w:tcW w:type="dxa" w:w="2100"/>
            <w:tcMar>
              <w:top w:w="80" w:type="dxa"/>
              <w:start w:w="120" w:type="dxa"/>
              <w:bottom w:w="80" w:type="dxa"/>
              <w:end w:w="120" w:type="dxa"/>
            </w:tcMar>
            <w:vAlign w:val="center"/>
            <w:shd w:fill="F2F4F7"/>
          </w:tcPr>
          <w:p>
            <w:pPr>
              <w:jc w:val="left"/>
            </w:pPr>
            <w:r>
              <w:rPr>
                <w:rFonts w:ascii="Calibri" w:hAnsi="Calibri"/>
                <w:b/>
                <w:color w:val="0B2545"/>
                <w:sz w:val="20"/>
              </w:rPr>
              <w:t>Check</w:t>
            </w:r>
          </w:p>
        </w:tc>
        <w:tc>
          <w:tcPr>
            <w:tcW w:type="dxa" w:w="5100"/>
            <w:tcMar>
              <w:top w:w="80" w:type="dxa"/>
              <w:start w:w="120" w:type="dxa"/>
              <w:bottom w:w="80" w:type="dxa"/>
              <w:end w:w="120" w:type="dxa"/>
            </w:tcMar>
            <w:vAlign w:val="center"/>
            <w:shd w:fill="F2F4F7"/>
          </w:tcPr>
          <w:p>
            <w:pPr>
              <w:jc w:val="left"/>
            </w:pPr>
            <w:r>
              <w:rPr>
                <w:rFonts w:ascii="Calibri" w:hAnsi="Calibri"/>
                <w:b/>
                <w:color w:val="0B2545"/>
                <w:sz w:val="20"/>
              </w:rPr>
              <w:t>Expected evidence</w:t>
            </w:r>
          </w:p>
        </w:tc>
        <w:tc>
          <w:tcPr>
            <w:tcW w:type="dxa" w:w="2160"/>
            <w:tcMar>
              <w:top w:w="80" w:type="dxa"/>
              <w:start w:w="120" w:type="dxa"/>
              <w:bottom w:w="80" w:type="dxa"/>
              <w:end w:w="120" w:type="dxa"/>
            </w:tcMar>
            <w:vAlign w:val="center"/>
            <w:shd w:fill="F2F4F7"/>
          </w:tcPr>
          <w:p>
            <w:pPr>
              <w:jc w:val="left"/>
            </w:pPr>
            <w:r>
              <w:rPr>
                <w:rFonts w:ascii="Calibri" w:hAnsi="Calibri"/>
                <w:b/>
                <w:color w:val="0B2545"/>
                <w:sz w:val="20"/>
              </w:rPr>
              <w:t>Disposition</w:t>
            </w:r>
          </w:p>
        </w:tc>
      </w:tr>
      <w:tr>
        <w:tc>
          <w:tcPr>
            <w:tcW w:type="dxa" w:w="2100"/>
          </w:tcPr>
          <w:p>
            <w:r>
              <w:rPr>
                <w:rFonts w:ascii="Calibri" w:hAnsi="Calibri"/>
                <w:sz w:val="20"/>
              </w:rPr>
              <w:t>Count reconciliation</w:t>
            </w:r>
          </w:p>
        </w:tc>
        <w:tc>
          <w:tcPr>
            <w:tcW w:type="dxa" w:w="5100"/>
          </w:tcPr>
          <w:p>
            <w:r>
              <w:rPr>
                <w:rFonts w:ascii="Calibri" w:hAnsi="Calibri"/>
                <w:sz w:val="20"/>
              </w:rPr>
              <w:t>S1 1,600 + S2 800 = 2,400</w:t>
            </w:r>
          </w:p>
        </w:tc>
        <w:tc>
          <w:tcPr>
            <w:tcW w:type="dxa" w:w="2160"/>
          </w:tcPr>
          <w:p>
            <w:r>
              <w:rPr>
                <w:rFonts w:ascii="Calibri" w:hAnsi="Calibri"/>
                <w:sz w:val="20"/>
              </w:rPr>
              <w:t>Required before scoring</w:t>
            </w:r>
          </w:p>
        </w:tc>
      </w:tr>
      <w:tr>
        <w:tc>
          <w:tcPr>
            <w:tcW w:type="dxa" w:w="2100"/>
          </w:tcPr>
          <w:p>
            <w:r>
              <w:rPr>
                <w:rFonts w:ascii="Calibri" w:hAnsi="Calibri"/>
                <w:sz w:val="20"/>
              </w:rPr>
              <w:t>Taxonomy check</w:t>
            </w:r>
          </w:p>
        </w:tc>
        <w:tc>
          <w:tcPr>
            <w:tcW w:type="dxa" w:w="5100"/>
          </w:tcPr>
          <w:p>
            <w:r>
              <w:rPr>
                <w:rFonts w:ascii="Calibri" w:hAnsi="Calibri"/>
                <w:sz w:val="20"/>
              </w:rPr>
              <w:t>Exactly five allowed labels</w:t>
            </w:r>
          </w:p>
        </w:tc>
        <w:tc>
          <w:tcPr>
            <w:tcW w:type="dxa" w:w="2160"/>
          </w:tcPr>
          <w:p>
            <w:r>
              <w:rPr>
                <w:rFonts w:ascii="Calibri" w:hAnsi="Calibri"/>
                <w:sz w:val="20"/>
              </w:rPr>
              <w:t>Required before scoring</w:t>
            </w:r>
          </w:p>
        </w:tc>
      </w:tr>
      <w:tr>
        <w:tc>
          <w:tcPr>
            <w:tcW w:type="dxa" w:w="2100"/>
          </w:tcPr>
          <w:p>
            <w:r>
              <w:rPr>
                <w:rFonts w:ascii="Calibri" w:hAnsi="Calibri"/>
                <w:sz w:val="20"/>
              </w:rPr>
              <w:t>Leakage screen</w:t>
            </w:r>
          </w:p>
        </w:tc>
        <w:tc>
          <w:tcPr>
            <w:tcW w:type="dxa" w:w="5100"/>
          </w:tcPr>
          <w:p>
            <w:r>
              <w:rPr>
                <w:rFonts w:ascii="Calibri" w:hAnsi="Calibri"/>
                <w:sz w:val="20"/>
              </w:rPr>
              <w:t>No external text or identifiers introduced</w:t>
            </w:r>
          </w:p>
        </w:tc>
        <w:tc>
          <w:tcPr>
            <w:tcW w:type="dxa" w:w="2160"/>
          </w:tcPr>
          <w:p>
            <w:r>
              <w:rPr>
                <w:rFonts w:ascii="Calibri" w:hAnsi="Calibri"/>
                <w:sz w:val="20"/>
              </w:rPr>
              <w:t>Required before scoring</w:t>
            </w:r>
          </w:p>
        </w:tc>
      </w:tr>
      <w:tr>
        <w:tc>
          <w:tcPr>
            <w:tcW w:type="dxa" w:w="2100"/>
          </w:tcPr>
          <w:p>
            <w:r>
              <w:rPr>
                <w:rFonts w:ascii="Calibri" w:hAnsi="Calibri"/>
                <w:sz w:val="20"/>
              </w:rPr>
              <w:t>Version capture</w:t>
            </w:r>
          </w:p>
        </w:tc>
        <w:tc>
          <w:tcPr>
            <w:tcW w:type="dxa" w:w="5100"/>
          </w:tcPr>
          <w:p>
            <w:r>
              <w:rPr>
                <w:rFonts w:ascii="Calibri" w:hAnsi="Calibri"/>
                <w:sz w:val="20"/>
              </w:rPr>
              <w:t>HF-Eval-S1/S2 v3.2 recorded in run note</w:t>
            </w:r>
          </w:p>
        </w:tc>
        <w:tc>
          <w:tcPr>
            <w:tcW w:type="dxa" w:w="2160"/>
          </w:tcPr>
          <w:p>
            <w:r>
              <w:rPr>
                <w:rFonts w:ascii="Calibri" w:hAnsi="Calibri"/>
                <w:sz w:val="20"/>
              </w:rPr>
              <w:t>Required for audit</w:t>
            </w:r>
          </w:p>
        </w:tc>
      </w:tr>
    </w:tbl>
    <w:p>
      <w:pPr>
        <w:pStyle w:val="Heading1"/>
      </w:pPr>
      <w:r>
        <w:rPr>
          <w:rFonts w:ascii="Calibri" w:hAnsi="Calibri"/>
        </w:rPr>
        <w:t>Limits of assurance</w:t>
      </w:r>
    </w:p>
    <w:p>
      <w:r>
        <w:rPr>
          <w:rFonts w:ascii="Calibri" w:hAnsi="Calibri"/>
        </w:rPr>
        <w:t>Synthetic controls reduce privacy and provenance uncertainty, but they also constrain ecological validity. They cannot demonstrate fairness, language coverage, resistance to manipulation, or reliability on naturally occurring discourse. Reviewers must treat these limits as active constraints on every claim made from the dataset.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