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b/>
          <w:color w:val="0B2545"/>
          <w:sz w:val="44"/>
        </w:rPr>
        <w:t>Model Alpha M-14 | Model Card</w:t>
      </w:r>
    </w:p>
    <w:p>
      <w:pPr>
        <w:spacing w:after="240"/>
      </w:pPr>
      <w:r>
        <w:rPr>
          <w:rFonts w:ascii="Calibri" w:hAnsi="Calibri"/>
          <w:i/>
          <w:color w:val="5B6770"/>
          <w:sz w:val="20"/>
        </w:rPr>
        <w:t>Helix Forge Lab / assurance record / issued 2026-07-13</w:t>
      </w:r>
    </w:p>
    <w:p>
      <w:pPr>
        <w:pStyle w:val="Heading1"/>
      </w:pPr>
      <w:r>
        <w:rPr>
          <w:rFonts w:ascii="Calibri" w:hAnsi="Calibri"/>
        </w:rPr>
        <w:t>Decision summary</w:t>
      </w:r>
    </w:p>
    <w:p>
      <w:r>
        <w:rPr>
          <w:rFonts w:ascii="Calibri" w:hAnsi="Calibri"/>
        </w:rPr>
        <w:t>Model Alpha M-14 is the selected synthetic-intent classifier for controlled offline research workflows. In run R184, its held-out macro score is F1 0.873, with precision 0.881 and recall 0.865. The selection is bounded: it supports comparative analysis of synthetic text only and is not approved for personal, production, or safety-critical decisions.</w:t>
      </w:r>
    </w:p>
    <w:p>
      <w:pPr>
        <w:pStyle w:val="Heading1"/>
      </w:pPr>
      <w:r>
        <w:rPr>
          <w:rFonts w:ascii="Calibri" w:hAnsi="Calibri"/>
        </w:rPr>
        <w:t>Identity and scope</w:t>
      </w:r>
    </w:p>
    <w:tbl>
      <w:tblPr>
        <w:tblW w:w="9360" w:type="dxa"/>
        <w:tblInd w:w="120" w:type="dxa"/>
        <w:tblStyle w:val="TableGrid"/>
        <w:jc w:val="left"/>
        <w:tblLook w:firstColumn="1" w:firstRow="1" w:lastColumn="0" w:lastRow="0" w:noHBand="0" w:noVBand="1" w:val="04A0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Recorded value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Owner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Helix Forge Lab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Release identifier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M-14 / internal research candidate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Assessment date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2026-07-13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Evaluation run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run R184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Task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Five-way synthetic intent classification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Decision state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0"/>
              </w:rPr>
              <w:t>Selected for offline analysis with controls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B6770"/>
          <w:sz w:val="18"/>
        </w:rPr>
        <w:t>Evidence basis: controlled synthetic evaluation record; no external data or live endpoint was used.</w:t>
      </w:r>
    </w:p>
    <w:p>
      <w:pPr>
        <w:pStyle w:val="Heading1"/>
      </w:pPr>
      <w:r>
        <w:rPr>
          <w:rFonts w:ascii="Calibri" w:hAnsi="Calibri"/>
        </w:rPr>
        <w:t>Performance readout</w:t>
      </w:r>
    </w:p>
    <w:tbl>
      <w:tblPr>
        <w:tblW w:w="9360" w:type="dxa"/>
        <w:tblInd w:w="120" w:type="dxa"/>
        <w:tblStyle w:val="TableGrid"/>
        <w:jc w:val="left"/>
        <w:tblLook w:firstColumn="1" w:firstRow="1" w:lastColumn="0" w:lastRow="0" w:noHBand="0" w:noVBand="1" w:val="04A0"/>
        <w:tblLayout w:type="fixed"/>
      </w:tblPr>
      <w:tblGrid>
        <w:gridCol w:w="1800"/>
        <w:gridCol w:w="1500"/>
        <w:gridCol w:w="6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Measure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Value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Interpretation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0"/>
              </w:rPr>
              <w:t>Macro F1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sz w:val="20"/>
              </w:rPr>
              <w:t>0.873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sz w:val="20"/>
              </w:rPr>
              <w:t>Balanced class performance across five synthetic labels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0"/>
              </w:rPr>
              <w:t>Macro precision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sz w:val="20"/>
              </w:rPr>
              <w:t>0.881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sz w:val="20"/>
              </w:rPr>
              <w:t>False-positive rate remains a review concern near ambiguous prompts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0"/>
              </w:rPr>
              <w:t>Macro recall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sz w:val="20"/>
              </w:rPr>
              <w:t>0.865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sz w:val="20"/>
              </w:rPr>
              <w:t>Some subtle phrasing variants are missed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0"/>
              </w:rPr>
              <w:t>Beta B-07 F1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sz w:val="20"/>
              </w:rPr>
              <w:t>0.846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sz w:val="20"/>
              </w:rPr>
              <w:t>Reference comparator for the selection decision</w:t>
            </w:r>
          </w:p>
        </w:tc>
      </w:tr>
    </w:tbl>
    <w:p>
      <w:pPr>
        <w:pStyle w:val="Heading2"/>
      </w:pPr>
      <w:r>
        <w:rPr>
          <w:rFonts w:ascii="Calibri" w:hAnsi="Calibri"/>
        </w:rPr>
        <w:t>What the score means</w:t>
      </w:r>
    </w:p>
    <w:p>
      <w:r>
        <w:rPr>
          <w:rFonts w:ascii="Calibri" w:hAnsi="Calibri"/>
        </w:rPr>
        <w:t>Macro averaging assigns the same importance to every label, regardless of the split size. It is an evaluation statistic, not a reliability guarantee for new text sources, new labels, or user-facing decisions.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Evaluation design</w:t>
      </w:r>
    </w:p>
    <w:p>
      <w:r>
        <w:rPr>
          <w:rFonts w:ascii="Calibri" w:hAnsi="Calibri"/>
        </w:rPr>
        <w:t>The assessment used HF-Eval-S1/S2 v3.2, a purpose-built synthetic set of 2,400 records. S1 contributes 1,600 records and S2 contributes 800 records. Each record carries one of five synthetic intent labels: inquiry, confirmation, revision, escalation, or closure.</w:t>
      </w:r>
    </w:p>
    <w:p>
      <w:pPr>
        <w:pStyle w:val="Heading2"/>
      </w:pPr>
      <w:r>
        <w:rPr>
          <w:rFonts w:ascii="Calibri" w:hAnsi="Calibri"/>
        </w:rPr>
        <w:t>Control boundaries</w:t>
      </w:r>
    </w:p>
    <w:p>
      <w:pPr>
        <w:pStyle w:val="ListBullet"/>
      </w:pPr>
      <w:r>
        <w:rPr>
          <w:rFonts w:ascii="Calibri" w:hAnsi="Calibri"/>
        </w:rPr>
        <w:t>Records were evaluated as static artifacts; no network, cloud service, GPU workload, or live data source was involved.</w:t>
      </w:r>
    </w:p>
    <w:p>
      <w:pPr>
        <w:pStyle w:val="ListBullet"/>
      </w:pPr>
      <w:r>
        <w:rPr>
          <w:rFonts w:ascii="Calibri" w:hAnsi="Calibri"/>
        </w:rPr>
        <w:t>Scores are retained with the run configuration so a reviewer can repeat the calculation against the same synthetic corpus.</w:t>
      </w:r>
    </w:p>
    <w:p>
      <w:pPr>
        <w:pStyle w:val="ListBullet"/>
      </w:pPr>
      <w:r>
        <w:rPr>
          <w:rFonts w:ascii="Calibri" w:hAnsi="Calibri"/>
        </w:rPr>
        <w:t>The model should abstain or route to human review when text is multilingual, heavily abbreviated, adversarially phrased, or outside the five-label taxonomy.</w:t>
      </w:r>
    </w:p>
    <w:p>
      <w:pPr>
        <w:pStyle w:val="Heading1"/>
      </w:pPr>
      <w:r>
        <w:rPr>
          <w:rFonts w:ascii="Calibri" w:hAnsi="Calibri"/>
        </w:rPr>
        <w:t>Known limitations</w:t>
      </w:r>
    </w:p>
    <w:p>
      <w:r>
        <w:rPr>
          <w:rFonts w:ascii="Calibri" w:hAnsi="Calibri"/>
        </w:rPr>
        <w:t>The synthetic corpus does not establish performance for real customer, clinical, legal, financial, or employment material. Class balance and wording conventions may make the task easier than deployment-like traffic. The card therefore prohibits extrapolating R184 metrics into operational service-level commitments.</w:t>
      </w:r>
    </w:p>
    <w:p>
      <w:pPr>
        <w:pStyle w:val="Heading1"/>
      </w:pPr>
      <w:r>
        <w:rPr>
          <w:rFonts w:ascii="Calibri" w:hAnsi="Calibri"/>
        </w:rPr>
        <w:t>Review disposition</w:t>
      </w:r>
    </w:p>
    <w:p>
      <w:r>
        <w:rPr>
          <w:rFonts w:ascii="Calibri" w:hAnsi="Calibri"/>
        </w:rPr>
        <w:t>Approved for comparative research notebooks and reproducibility exercises. Before any broader use, a reviewer must document a new dataset suitability check, error slices, abstention behavior, and human-oversight plan.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