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Calibri" w:hAnsi="Calibri"/>
          <w:b/>
          <w:color w:val="0B2545"/>
          <w:sz w:val="44"/>
        </w:rPr>
        <w:t>Model Beta B-07 | Baseline Card</w:t>
      </w:r>
    </w:p>
    <w:p>
      <w:pPr>
        <w:spacing w:after="240"/>
      </w:pPr>
      <w:r>
        <w:rPr>
          <w:rFonts w:ascii="Calibri" w:hAnsi="Calibri"/>
          <w:i/>
          <w:color w:val="5B6770"/>
          <w:sz w:val="20"/>
        </w:rPr>
        <w:t>Helix Forge Lab / comparator record / issued 2026-07-13</w:t>
      </w:r>
    </w:p>
    <w:p>
      <w:pPr>
        <w:pStyle w:val="Heading1"/>
      </w:pPr>
      <w:r>
        <w:rPr>
          <w:rFonts w:ascii="Calibri" w:hAnsi="Calibri"/>
        </w:rPr>
        <w:t>Purpose of this record</w:t>
      </w:r>
    </w:p>
    <w:p>
      <w:r>
        <w:rPr>
          <w:rFonts w:ascii="Calibri" w:hAnsi="Calibri"/>
        </w:rPr>
        <w:t>Model Beta B-07 is the retained baseline used to test whether the selected candidate offers a material advantage. It is not a fallback deployment asset; it is an audit comparator whose fixed evaluation allows the selection rationale to remain inspectable.</w:t>
      </w:r>
    </w:p>
    <w:p>
      <w:pPr>
        <w:pStyle w:val="Heading1"/>
      </w:pPr>
      <w:r>
        <w:rPr>
          <w:rFonts w:ascii="Calibri" w:hAnsi="Calibri"/>
        </w:rPr>
        <w:t>Baseline snapshot</w:t>
      </w:r>
    </w:p>
    <w:tbl>
      <w:tblPr>
        <w:tblW w:w="9360" w:type="dxa"/>
        <w:tblInd w:w="120" w:type="dxa"/>
        <w:tblStyle w:val="TableGrid"/>
        <w:jc w:val="left"/>
        <w:tblLook w:firstColumn="1" w:firstRow="1" w:lastColumn="0" w:lastRow="0" w:noHBand="0" w:noVBand="1" w:val="04A0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Calibri" w:hAnsi="Calibri"/>
                <w:b/>
                <w:color w:val="0B2545"/>
                <w:sz w:val="20"/>
              </w:rPr>
              <w:t>Attribute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Calibri" w:hAnsi="Calibri"/>
                <w:b/>
                <w:color w:val="0B2545"/>
                <w:sz w:val="20"/>
              </w:rPr>
              <w:t>Baseline record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/>
                <w:sz w:val="20"/>
              </w:rPr>
              <w:t>Evaluation run</w:t>
            </w:r>
          </w:p>
        </w:tc>
        <w:tc>
          <w:tcPr>
            <w:tcW w:type="dxa" w:w="6660"/>
          </w:tcPr>
          <w:p>
            <w:r>
              <w:rPr>
                <w:rFonts w:ascii="Calibri" w:hAnsi="Calibri"/>
                <w:sz w:val="20"/>
              </w:rPr>
              <w:t>R184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/>
                <w:sz w:val="20"/>
              </w:rPr>
              <w:t>Dataset</w:t>
            </w:r>
          </w:p>
        </w:tc>
        <w:tc>
          <w:tcPr>
            <w:tcW w:type="dxa" w:w="6660"/>
          </w:tcPr>
          <w:p>
            <w:r>
              <w:rPr>
                <w:rFonts w:ascii="Calibri" w:hAnsi="Calibri"/>
                <w:sz w:val="20"/>
              </w:rPr>
              <w:t>HF-Eval-S1/S2 v3.2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/>
                <w:sz w:val="20"/>
              </w:rPr>
              <w:t>Corpus size</w:t>
            </w:r>
          </w:p>
        </w:tc>
        <w:tc>
          <w:tcPr>
            <w:tcW w:type="dxa" w:w="6660"/>
          </w:tcPr>
          <w:p>
            <w:r>
              <w:rPr>
                <w:rFonts w:ascii="Calibri" w:hAnsi="Calibri"/>
                <w:sz w:val="20"/>
              </w:rPr>
              <w:t>2,400 synthetic records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/>
                <w:sz w:val="20"/>
              </w:rPr>
              <w:t>Label count</w:t>
            </w:r>
          </w:p>
        </w:tc>
        <w:tc>
          <w:tcPr>
            <w:tcW w:type="dxa" w:w="6660"/>
          </w:tcPr>
          <w:p>
            <w:r>
              <w:rPr>
                <w:rFonts w:ascii="Calibri" w:hAnsi="Calibri"/>
                <w:sz w:val="20"/>
              </w:rPr>
              <w:t>Five synthetic intent labels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/>
                <w:sz w:val="20"/>
              </w:rPr>
              <w:t>Macro F1</w:t>
            </w:r>
          </w:p>
        </w:tc>
        <w:tc>
          <w:tcPr>
            <w:tcW w:type="dxa" w:w="6660"/>
          </w:tcPr>
          <w:p>
            <w:r>
              <w:rPr>
                <w:rFonts w:ascii="Calibri" w:hAnsi="Calibri"/>
                <w:sz w:val="20"/>
              </w:rPr>
              <w:t>0.846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/>
                <w:sz w:val="20"/>
              </w:rPr>
              <w:t>Role</w:t>
            </w:r>
          </w:p>
        </w:tc>
        <w:tc>
          <w:tcPr>
            <w:tcW w:type="dxa" w:w="6660"/>
          </w:tcPr>
          <w:p>
            <w:r>
              <w:rPr>
                <w:rFonts w:ascii="Calibri" w:hAnsi="Calibri"/>
                <w:sz w:val="20"/>
              </w:rPr>
              <w:t>Comparator against Alpha M-14</w:t>
            </w:r>
          </w:p>
        </w:tc>
      </w:tr>
    </w:tbl>
    <w:p>
      <w:pPr>
        <w:pStyle w:val="Heading2"/>
      </w:pPr>
      <w:r>
        <w:rPr>
          <w:rFonts w:ascii="Calibri" w:hAnsi="Calibri"/>
        </w:rPr>
        <w:t>Interpretation</w:t>
      </w:r>
    </w:p>
    <w:p>
      <w:r>
        <w:rPr>
          <w:rFonts w:ascii="Calibri" w:hAnsi="Calibri"/>
        </w:rPr>
        <w:t>The 0.846 macro F1 establishes a stable reference point under the same synthetic protocol. Alpha M-14 exceeds it by 0.027 macro F1, but that difference is evidence for a constrained internal choice, not proof of universal superiority.</w:t>
      </w:r>
    </w:p>
    <w:p>
      <w:pPr>
        <w:pStyle w:val="Heading1"/>
      </w:pPr>
      <w:r>
        <w:rPr>
          <w:rFonts w:ascii="Calibri" w:hAnsi="Calibri"/>
        </w:rPr>
        <w:t>Assessment guardrails</w:t>
      </w:r>
    </w:p>
    <w:p>
      <w:pPr>
        <w:pStyle w:val="ListBullet"/>
      </w:pPr>
      <w:r>
        <w:rPr>
          <w:rFonts w:ascii="Calibri" w:hAnsi="Calibri"/>
        </w:rPr>
        <w:t>Compare like-for-like outputs using the same label mapping and frozen split assignment.</w:t>
      </w:r>
    </w:p>
    <w:p>
      <w:pPr>
        <w:pStyle w:val="ListBullet"/>
      </w:pPr>
      <w:r>
        <w:rPr>
          <w:rFonts w:ascii="Calibri" w:hAnsi="Calibri"/>
        </w:rPr>
        <w:t>Record uncertain examples rather than silently reclassifying them after score review.</w:t>
      </w:r>
    </w:p>
    <w:p>
      <w:pPr>
        <w:pStyle w:val="ListBullet"/>
      </w:pPr>
      <w:r>
        <w:rPr>
          <w:rFonts w:ascii="Calibri" w:hAnsi="Calibri"/>
        </w:rPr>
        <w:t>Do not use this baseline score to infer latency, cost, robustness, or demographic behavior.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Where Beta B-07 is informative</w:t>
      </w:r>
    </w:p>
    <w:p>
      <w:r>
        <w:rPr>
          <w:rFonts w:ascii="Calibri" w:hAnsi="Calibri"/>
        </w:rPr>
        <w:t>The baseline is most useful when a reviewer needs to distinguish a genuine model improvement from an evaluation artifact. It supplies a common anchor for error comparison, especially for low-frequency escalation and revision intents.</w:t>
      </w:r>
    </w:p>
    <w:p>
      <w:pPr>
        <w:pStyle w:val="Heading2"/>
      </w:pPr>
      <w:r>
        <w:rPr>
          <w:rFonts w:ascii="Calibri" w:hAnsi="Calibri"/>
        </w:rPr>
        <w:t>Error-review prompts</w:t>
      </w:r>
    </w:p>
    <w:tbl>
      <w:tblPr>
        <w:tblW w:w="9360" w:type="dxa"/>
        <w:tblInd w:w="120" w:type="dxa"/>
        <w:tblStyle w:val="TableGrid"/>
        <w:jc w:val="left"/>
        <w:tblLook w:firstColumn="1" w:firstRow="1" w:lastColumn="0" w:lastRow="0" w:noHBand="0" w:noVBand="1" w:val="04A0"/>
        <w:tblLayout w:type="fixed"/>
      </w:tblPr>
      <w:tblGrid>
        <w:gridCol w:w="3300"/>
        <w:gridCol w:w="6060"/>
      </w:tblGrid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Calibri" w:hAnsi="Calibri"/>
                <w:b/>
                <w:color w:val="0B2545"/>
                <w:sz w:val="20"/>
              </w:rPr>
              <w:t>Review question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Calibri" w:hAnsi="Calibri"/>
                <w:b/>
                <w:color w:val="0B2545"/>
                <w:sz w:val="20"/>
              </w:rPr>
              <w:t>Why it matters</w:t>
            </w:r>
          </w:p>
        </w:tc>
      </w:tr>
      <w:tr>
        <w:tc>
          <w:tcPr>
            <w:tcW w:type="dxa" w:w="3300"/>
          </w:tcPr>
          <w:p>
            <w:r>
              <w:rPr>
                <w:rFonts w:ascii="Calibri" w:hAnsi="Calibri"/>
                <w:sz w:val="20"/>
              </w:rPr>
              <w:t>Which labels trade precision for recall?</w:t>
            </w:r>
          </w:p>
        </w:tc>
        <w:tc>
          <w:tcPr>
            <w:tcW w:type="dxa" w:w="6060"/>
          </w:tcPr>
          <w:p>
            <w:r>
              <w:rPr>
                <w:rFonts w:ascii="Calibri" w:hAnsi="Calibri"/>
                <w:sz w:val="20"/>
              </w:rPr>
              <w:t>A single macro value can hide asymmetric failure patterns.</w:t>
            </w:r>
          </w:p>
        </w:tc>
      </w:tr>
      <w:tr>
        <w:tc>
          <w:tcPr>
            <w:tcW w:type="dxa" w:w="3300"/>
          </w:tcPr>
          <w:p>
            <w:r>
              <w:rPr>
                <w:rFonts w:ascii="Calibri" w:hAnsi="Calibri"/>
                <w:sz w:val="20"/>
              </w:rPr>
              <w:t>Do failures cluster in short prompts?</w:t>
            </w:r>
          </w:p>
        </w:tc>
        <w:tc>
          <w:tcPr>
            <w:tcW w:type="dxa" w:w="6060"/>
          </w:tcPr>
          <w:p>
            <w:r>
              <w:rPr>
                <w:rFonts w:ascii="Calibri" w:hAnsi="Calibri"/>
                <w:sz w:val="20"/>
              </w:rPr>
              <w:t>Sparse wording may be a protocol artifact rather than a model defect.</w:t>
            </w:r>
          </w:p>
        </w:tc>
      </w:tr>
      <w:tr>
        <w:tc>
          <w:tcPr>
            <w:tcW w:type="dxa" w:w="3300"/>
          </w:tcPr>
          <w:p>
            <w:r>
              <w:rPr>
                <w:rFonts w:ascii="Calibri" w:hAnsi="Calibri"/>
                <w:sz w:val="20"/>
              </w:rPr>
              <w:t>Are disagreements semantically plausible?</w:t>
            </w:r>
          </w:p>
        </w:tc>
        <w:tc>
          <w:tcPr>
            <w:tcW w:type="dxa" w:w="6060"/>
          </w:tcPr>
          <w:p>
            <w:r>
              <w:rPr>
                <w:rFonts w:ascii="Calibri" w:hAnsi="Calibri"/>
                <w:sz w:val="20"/>
              </w:rPr>
              <w:t>Plausible alternatives call for taxonomy clarification, not automatic blame.</w:t>
            </w:r>
          </w:p>
        </w:tc>
      </w:tr>
      <w:tr>
        <w:tc>
          <w:tcPr>
            <w:tcW w:type="dxa" w:w="3300"/>
          </w:tcPr>
          <w:p>
            <w:r>
              <w:rPr>
                <w:rFonts w:ascii="Calibri" w:hAnsi="Calibri"/>
                <w:sz w:val="20"/>
              </w:rPr>
              <w:t>Does a re-run preserve ranking?</w:t>
            </w:r>
          </w:p>
        </w:tc>
        <w:tc>
          <w:tcPr>
            <w:tcW w:type="dxa" w:w="6060"/>
          </w:tcPr>
          <w:p>
            <w:r>
              <w:rPr>
                <w:rFonts w:ascii="Calibri" w:hAnsi="Calibri"/>
                <w:sz w:val="20"/>
              </w:rPr>
              <w:t>A changed ranking requires a reproducibility investigation.</w:t>
            </w:r>
          </w:p>
        </w:tc>
      </w:tr>
    </w:tbl>
    <w:p>
      <w:pPr>
        <w:pStyle w:val="Heading1"/>
      </w:pPr>
      <w:r>
        <w:rPr>
          <w:rFonts w:ascii="Calibri" w:hAnsi="Calibri"/>
        </w:rPr>
        <w:t>Use restriction</w:t>
      </w:r>
    </w:p>
    <w:p>
      <w:r>
        <w:rPr>
          <w:rFonts w:ascii="Calibri" w:hAnsi="Calibri"/>
        </w:rPr>
        <w:t>Beta B-07 may support offline comparison only. No result in this record authorizes scoring individuals, automating routing, or assigning consequential categories. Any future expansion requires a separate governance review and an independently designed evaluation set.</w:t>
      </w:r>
    </w:p>
    <w:p>
      <w:pPr>
        <w:pStyle w:val="Heading1"/>
      </w:pPr>
      <w:r>
        <w:rPr>
          <w:rFonts w:ascii="Calibri" w:hAnsi="Calibri"/>
        </w:rPr>
        <w:t>Audit trail note</w:t>
      </w:r>
    </w:p>
    <w:p>
      <w:r>
        <w:rPr>
          <w:rFonts w:ascii="Calibri" w:hAnsi="Calibri"/>
        </w:rPr>
        <w:t>This baseline record is intentionally narrower than the Alpha card. Its job is to preserve the control condition, the metric anchor, and the questions a reviewer should ask before accepting a claimed gain.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