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b/>
          <w:color w:val="0B2545"/>
          <w:sz w:val="44"/>
        </w:rPr>
        <w:t>Run R184 | Reproducibility Record</w:t>
      </w:r>
    </w:p>
    <w:p>
      <w:pPr>
        <w:spacing w:after="240"/>
      </w:pPr>
      <w:r>
        <w:rPr>
          <w:rFonts w:ascii="Calibri" w:hAnsi="Calibri"/>
          <w:i/>
          <w:color w:val="5B6770"/>
          <w:sz w:val="20"/>
        </w:rPr>
        <w:t>Helix Forge Lab / frozen offline evaluation / 2026-07-13</w:t>
      </w:r>
    </w:p>
    <w:p>
      <w:pPr>
        <w:pStyle w:val="Heading1"/>
      </w:pPr>
      <w:r>
        <w:rPr>
          <w:rFonts w:ascii="Calibri" w:hAnsi="Calibri"/>
        </w:rPr>
        <w:t>Record objective</w:t>
      </w:r>
    </w:p>
    <w:p>
      <w:r>
        <w:rPr>
          <w:rFonts w:ascii="Calibri" w:hAnsi="Calibri"/>
        </w:rPr>
        <w:t>This record defines the minimum evidence required to reproduce the comparative result between Model Alpha M-14 and Model Beta B-07. It records the inputs, bounded procedure, expected outputs, and acceptance checks without exposing operational systems or mutable data.</w:t>
      </w:r>
    </w:p>
    <w:p>
      <w:pPr>
        <w:pStyle w:val="Heading1"/>
      </w:pPr>
      <w:r>
        <w:rPr>
          <w:rFonts w:ascii="Calibri" w:hAnsi="Calibri"/>
        </w:rPr>
        <w:t>Frozen inputs</w:t>
      </w:r>
    </w:p>
    <w:tbl>
      <w:tblPr>
        <w:tblW w:w="9360" w:type="dxa"/>
        <w:tblInd w:w="120" w:type="dxa"/>
        <w:tblStyle w:val="TableGrid"/>
        <w:jc w:val="left"/>
        <w:tblLook w:firstColumn="1" w:firstRow="1" w:lastColumn="0" w:lastRow="0" w:noHBand="0" w:noVBand="1" w:val="04A0"/>
        <w:tblLayout w:type="fixed"/>
      </w:tblPr>
      <w:tblGrid>
        <w:gridCol w:w="2100"/>
        <w:gridCol w:w="4200"/>
        <w:gridCol w:w="30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Input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Frozen value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20"/>
              </w:rPr>
              <w:t>Run identifier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sz w:val="20"/>
              </w:rPr>
              <w:t>R184</w:t>
            </w:r>
          </w:p>
        </w:tc>
        <w:tc>
          <w:tcPr>
            <w:tcW w:type="dxa" w:w="3060"/>
          </w:tcPr>
          <w:p>
            <w:r>
              <w:rPr>
                <w:rFonts w:ascii="Calibri" w:hAnsi="Calibri"/>
                <w:sz w:val="20"/>
              </w:rPr>
              <w:t>Audit anchor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20"/>
              </w:rPr>
              <w:t>Evaluation asset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sz w:val="20"/>
              </w:rPr>
              <w:t>HF-Eval-S1/S2 v3.2</w:t>
            </w:r>
          </w:p>
        </w:tc>
        <w:tc>
          <w:tcPr>
            <w:tcW w:type="dxa" w:w="3060"/>
          </w:tcPr>
          <w:p>
            <w:r>
              <w:rPr>
                <w:rFonts w:ascii="Calibri" w:hAnsi="Calibri"/>
                <w:sz w:val="20"/>
              </w:rPr>
              <w:t>Common synthetic test frame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20"/>
              </w:rPr>
              <w:t>Dataset composition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sz w:val="20"/>
              </w:rPr>
              <w:t>2,400 records: S1 1,600; S2 800</w:t>
            </w:r>
          </w:p>
        </w:tc>
        <w:tc>
          <w:tcPr>
            <w:tcW w:type="dxa" w:w="3060"/>
          </w:tcPr>
          <w:p>
            <w:r>
              <w:rPr>
                <w:rFonts w:ascii="Calibri" w:hAnsi="Calibri"/>
                <w:sz w:val="20"/>
              </w:rPr>
              <w:t>Count reconciliation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20"/>
              </w:rPr>
              <w:t>Taxonomy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sz w:val="20"/>
              </w:rPr>
              <w:t>Five synthetic intent labels</w:t>
            </w:r>
          </w:p>
        </w:tc>
        <w:tc>
          <w:tcPr>
            <w:tcW w:type="dxa" w:w="3060"/>
          </w:tcPr>
          <w:p>
            <w:r>
              <w:rPr>
                <w:rFonts w:ascii="Calibri" w:hAnsi="Calibri"/>
                <w:sz w:val="20"/>
              </w:rPr>
              <w:t>Output constraint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20"/>
              </w:rPr>
              <w:t>Candidate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sz w:val="20"/>
              </w:rPr>
              <w:t>Model Alpha M-14</w:t>
            </w:r>
          </w:p>
        </w:tc>
        <w:tc>
          <w:tcPr>
            <w:tcW w:type="dxa" w:w="3060"/>
          </w:tcPr>
          <w:p>
            <w:r>
              <w:rPr>
                <w:rFonts w:ascii="Calibri" w:hAnsi="Calibri"/>
                <w:sz w:val="20"/>
              </w:rPr>
              <w:t>Selected comparison target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20"/>
              </w:rPr>
              <w:t>Comparator</w:t>
            </w:r>
          </w:p>
        </w:tc>
        <w:tc>
          <w:tcPr>
            <w:tcW w:type="dxa" w:w="4200"/>
          </w:tcPr>
          <w:p>
            <w:r>
              <w:rPr>
                <w:rFonts w:ascii="Calibri" w:hAnsi="Calibri"/>
                <w:sz w:val="20"/>
              </w:rPr>
              <w:t>Model Beta B-07</w:t>
            </w:r>
          </w:p>
        </w:tc>
        <w:tc>
          <w:tcPr>
            <w:tcW w:type="dxa" w:w="3060"/>
          </w:tcPr>
          <w:p>
            <w:r>
              <w:rPr>
                <w:rFonts w:ascii="Calibri" w:hAnsi="Calibri"/>
                <w:sz w:val="20"/>
              </w:rPr>
              <w:t>Baseline reference</w:t>
            </w:r>
          </w:p>
        </w:tc>
      </w:tr>
    </w:tbl>
    <w:p>
      <w:pPr>
        <w:pStyle w:val="Heading1"/>
      </w:pPr>
      <w:r>
        <w:rPr>
          <w:rFonts w:ascii="Calibri" w:hAnsi="Calibri"/>
        </w:rPr>
        <w:t>Procedure</w:t>
      </w:r>
    </w:p>
    <w:p>
      <w:pPr>
        <w:pStyle w:val="ListNumber"/>
      </w:pPr>
      <w:r>
        <w:rPr>
          <w:rFonts w:ascii="Calibri" w:hAnsi="Calibri"/>
        </w:rPr>
        <w:t>Verify dataset version, partition counts, and five-label taxonomy before execution.</w:t>
      </w:r>
    </w:p>
    <w:p>
      <w:pPr>
        <w:pStyle w:val="ListNumber"/>
      </w:pPr>
      <w:r>
        <w:rPr>
          <w:rFonts w:ascii="Calibri" w:hAnsi="Calibri"/>
        </w:rPr>
        <w:t>Score each frozen record once per model using the preserved label mapping.</w:t>
      </w:r>
    </w:p>
    <w:p>
      <w:pPr>
        <w:pStyle w:val="ListNumber"/>
      </w:pPr>
      <w:r>
        <w:rPr>
          <w:rFonts w:ascii="Calibri" w:hAnsi="Calibri"/>
        </w:rPr>
        <w:t>Calculate macro precision, macro recall, and macro F1 across the five labels.</w:t>
      </w:r>
    </w:p>
    <w:p>
      <w:pPr>
        <w:pStyle w:val="ListNumber"/>
      </w:pPr>
      <w:r>
        <w:rPr>
          <w:rFonts w:ascii="Calibri" w:hAnsi="Calibri"/>
        </w:rPr>
        <w:t>Compare candidate and baseline macro F1, then preserve disagreement examples for review.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Expected output and acceptance</w:t>
      </w:r>
    </w:p>
    <w:tbl>
      <w:tblPr>
        <w:tblW w:w="9360" w:type="dxa"/>
        <w:tblInd w:w="120" w:type="dxa"/>
        <w:tblStyle w:val="TableGrid"/>
        <w:jc w:val="left"/>
        <w:tblLook w:firstColumn="1" w:firstRow="1" w:lastColumn="0" w:lastRow="0" w:noHBand="0" w:noVBand="1" w:val="04A0"/>
        <w:tblLayout w:type="fixed"/>
      </w:tblPr>
      <w:tblGrid>
        <w:gridCol w:w="2100"/>
        <w:gridCol w:w="2700"/>
        <w:gridCol w:w="45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Measure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Expected record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Acceptance condition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20"/>
              </w:rPr>
              <w:t>Alpha macro F1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0.873</w:t>
            </w:r>
          </w:p>
        </w:tc>
        <w:tc>
          <w:tcPr>
            <w:tcW w:type="dxa" w:w="4560"/>
          </w:tcPr>
          <w:p>
            <w:r>
              <w:rPr>
                <w:rFonts w:ascii="Calibri" w:hAnsi="Calibri"/>
                <w:sz w:val="20"/>
              </w:rPr>
              <w:t>Matches the frozen R184 value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20"/>
              </w:rPr>
              <w:t>Alpha precision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0.881</w:t>
            </w:r>
          </w:p>
        </w:tc>
        <w:tc>
          <w:tcPr>
            <w:tcW w:type="dxa" w:w="4560"/>
          </w:tcPr>
          <w:p>
            <w:r>
              <w:rPr>
                <w:rFonts w:ascii="Calibri" w:hAnsi="Calibri"/>
                <w:sz w:val="20"/>
              </w:rPr>
              <w:t>Recorded with macro F1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20"/>
              </w:rPr>
              <w:t>Alpha recall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0.865</w:t>
            </w:r>
          </w:p>
        </w:tc>
        <w:tc>
          <w:tcPr>
            <w:tcW w:type="dxa" w:w="4560"/>
          </w:tcPr>
          <w:p>
            <w:r>
              <w:rPr>
                <w:rFonts w:ascii="Calibri" w:hAnsi="Calibri"/>
                <w:sz w:val="20"/>
              </w:rPr>
              <w:t>Recorded with macro F1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20"/>
              </w:rPr>
              <w:t>Beta macro F1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0.846</w:t>
            </w:r>
          </w:p>
        </w:tc>
        <w:tc>
          <w:tcPr>
            <w:tcW w:type="dxa" w:w="4560"/>
          </w:tcPr>
          <w:p>
            <w:r>
              <w:rPr>
                <w:rFonts w:ascii="Calibri" w:hAnsi="Calibri"/>
                <w:sz w:val="20"/>
              </w:rPr>
              <w:t>Available for direct comparison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20"/>
              </w:rPr>
              <w:t>Decision delta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sz w:val="20"/>
              </w:rPr>
              <w:t>0.027 in Alpha favor</w:t>
            </w:r>
          </w:p>
        </w:tc>
        <w:tc>
          <w:tcPr>
            <w:tcW w:type="dxa" w:w="4560"/>
          </w:tcPr>
          <w:p>
            <w:r>
              <w:rPr>
                <w:rFonts w:ascii="Calibri" w:hAnsi="Calibri"/>
                <w:sz w:val="20"/>
              </w:rPr>
              <w:t>Explained as synthetic-frame evidence only</w:t>
            </w:r>
          </w:p>
        </w:tc>
      </w:tr>
    </w:tbl>
    <w:p>
      <w:pPr>
        <w:pStyle w:val="Heading1"/>
      </w:pPr>
      <w:r>
        <w:rPr>
          <w:rFonts w:ascii="Calibri" w:hAnsi="Calibri"/>
        </w:rPr>
        <w:t>Reproduction conditions</w:t>
      </w:r>
    </w:p>
    <w:p>
      <w:r>
        <w:rPr>
          <w:rFonts w:ascii="Calibri" w:hAnsi="Calibri"/>
        </w:rPr>
        <w:t>A run is comparable only when it uses the named dataset version, the same partition membership, the same five-label mapping, and the same macro-averaging calculation. A mismatch is not a failed rerun; it is a new experiment that must receive a separate identifier.</w:t>
      </w:r>
    </w:p>
    <w:p>
      <w:pPr>
        <w:pStyle w:val="Heading1"/>
      </w:pPr>
      <w:r>
        <w:rPr>
          <w:rFonts w:ascii="Calibri" w:hAnsi="Calibri"/>
        </w:rPr>
        <w:t>Exceptions and escalation</w:t>
      </w:r>
    </w:p>
    <w:p>
      <w:pPr>
        <w:pStyle w:val="ListBullet"/>
      </w:pPr>
      <w:r>
        <w:rPr>
          <w:rFonts w:ascii="Calibri" w:hAnsi="Calibri"/>
        </w:rPr>
        <w:t>Stop and document the reason if record counts do not reconcile.</w:t>
      </w:r>
    </w:p>
    <w:p>
      <w:pPr>
        <w:pStyle w:val="ListBullet"/>
      </w:pPr>
      <w:r>
        <w:rPr>
          <w:rFonts w:ascii="Calibri" w:hAnsi="Calibri"/>
        </w:rPr>
        <w:t>Stop and document the reason if a label falls outside the five-label taxonomy.</w:t>
      </w:r>
    </w:p>
    <w:p>
      <w:pPr>
        <w:pStyle w:val="ListBullet"/>
      </w:pPr>
      <w:r>
        <w:rPr>
          <w:rFonts w:ascii="Calibri" w:hAnsi="Calibri"/>
        </w:rPr>
        <w:t>Route changed model versions, changed prompts, or changed scoring code to a new review record.</w:t>
      </w:r>
    </w:p>
    <w:p>
      <w:pPr>
        <w:pStyle w:val="ListBullet"/>
      </w:pPr>
      <w:r>
        <w:rPr>
          <w:rFonts w:ascii="Calibri" w:hAnsi="Calibri"/>
        </w:rPr>
        <w:t>Do not connect the procedure to a network, cloud platform, GPU service, or live data source.</w:t>
      </w:r>
    </w:p>
    <w:p>
      <w:pPr>
        <w:pStyle w:val="Heading1"/>
      </w:pPr>
      <w:r>
        <w:rPr>
          <w:rFonts w:ascii="Calibri" w:hAnsi="Calibri"/>
        </w:rPr>
        <w:t>Reviewer sign-off criteria</w:t>
      </w:r>
    </w:p>
    <w:p>
      <w:r>
        <w:rPr>
          <w:rFonts w:ascii="Calibri" w:hAnsi="Calibri"/>
        </w:rPr>
        <w:t>A reviewer accepts the record when the fixed inputs are present, the four metric values match, the delta is correctly calculated, and the use restriction remains explicit. This sign-off confirms traceability, not deployment readiness.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