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Personal roadmap draft</w:t>
      </w:r>
    </w:p>
    <w:p>
      <w:pPr>
        <w:pStyle w:val="Subtitle"/>
      </w:pPr>
      <w:r>
        <w:t>Juniper Works | Product Alpha Q3 | Decision memo | 2026-07-13</w:t>
      </w:r>
    </w:p>
    <w:p>
      <w:r>
        <w:t>Owner: PM-local-08  |  Decision horizon: M-27 (2026-09-18)</w:t>
      </w:r>
    </w:p>
    <w:p>
      <w:pPr>
        <w:pStyle w:val="Heading1"/>
      </w:pPr>
      <w:r>
        <w:t>Decision requested</w:t>
      </w:r>
    </w:p>
    <w:p>
      <w:r>
        <w:t>Approve the Q3 activation path: a common activation definition, a controlled lifecycle prompt experiment, and a weekly operating review. The measured objective is to move adoption from 18.4% to 26.0% by M-27 on 2026-09-18.</w:t>
      </w:r>
    </w:p>
    <w:p>
      <w:pPr>
        <w:pStyle w:val="Heading1"/>
      </w:pPr>
      <w:r>
        <w:t>Why this path</w:t>
      </w:r>
    </w:p>
    <w:p>
      <w:pPr>
        <w:pStyle w:val="ListBullet"/>
      </w:pPr>
      <w:r>
        <w:t>A shared event dictionary makes the adoption metric comparable across the Q3 workstream.</w:t>
      </w:r>
    </w:p>
    <w:p>
      <w:pPr>
        <w:pStyle w:val="ListBullet"/>
      </w:pPr>
      <w:r>
        <w:t>A holdout-backed prompt experiment separates message impact from seasonal movement.</w:t>
      </w:r>
    </w:p>
    <w:p>
      <w:pPr>
        <w:pStyle w:val="ListBullet"/>
      </w:pPr>
      <w:r>
        <w:t>A weekly review turns the metric into a decision cadence rather than a retrospective report.</w:t>
      </w:r>
    </w:p>
    <w:p>
      <w:pPr>
        <w:pStyle w:val="Heading1"/>
      </w:pPr>
      <w:r>
        <w:t>Operating commitments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  <w:vAlign w:val="center"/>
          </w:tcPr>
          <w:p>
            <w:r>
              <w:t>ID</w:t>
            </w:r>
          </w:p>
        </w:tc>
        <w:tc>
          <w:tcPr>
            <w:tcW w:type="dxa" w:w="2340"/>
            <w:shd w:fill="D9EAF7"/>
            <w:vAlign w:val="center"/>
          </w:tcPr>
          <w:p>
            <w:r>
              <w:t>Commitment</w:t>
            </w:r>
          </w:p>
        </w:tc>
        <w:tc>
          <w:tcPr>
            <w:tcW w:type="dxa" w:w="2340"/>
            <w:shd w:fill="D9EAF7"/>
            <w:vAlign w:val="center"/>
          </w:tcPr>
          <w:p>
            <w:r>
              <w:t>Due</w:t>
            </w:r>
          </w:p>
        </w:tc>
        <w:tc>
          <w:tcPr>
            <w:tcW w:type="dxa" w:w="2340"/>
            <w:shd w:fill="D9EAF7"/>
            <w:vAlign w:val="center"/>
          </w:tcPr>
          <w:p>
            <w:r>
              <w:t>Evidence</w:t>
            </w:r>
          </w:p>
        </w:tc>
      </w:tr>
      <w:tr>
        <w:tc>
          <w:tcPr>
            <w:tcW w:type="dxa" w:w="2340"/>
          </w:tcPr>
          <w:p>
            <w:r>
              <w:t>ACT-27A</w:t>
            </w:r>
          </w:p>
        </w:tc>
        <w:tc>
          <w:tcPr>
            <w:tcW w:type="dxa" w:w="2340"/>
          </w:tcPr>
          <w:p>
            <w:r>
              <w:t>M-27 activation definition</w:t>
            </w:r>
          </w:p>
        </w:tc>
        <w:tc>
          <w:tcPr>
            <w:tcW w:type="dxa" w:w="2340"/>
          </w:tcPr>
          <w:p>
            <w:r>
              <w:t>2026-07-20</w:t>
            </w:r>
          </w:p>
        </w:tc>
        <w:tc>
          <w:tcPr>
            <w:tcW w:type="dxa" w:w="2340"/>
          </w:tcPr>
          <w:p>
            <w:r>
              <w:t>Publish shared activation event dictionary.</w:t>
            </w:r>
          </w:p>
        </w:tc>
      </w:tr>
      <w:tr>
        <w:tc>
          <w:tcPr>
            <w:tcW w:type="dxa" w:w="2340"/>
          </w:tcPr>
          <w:p>
            <w:r>
              <w:t>ACT-27B</w:t>
            </w:r>
          </w:p>
        </w:tc>
        <w:tc>
          <w:tcPr>
            <w:tcW w:type="dxa" w:w="2340"/>
          </w:tcPr>
          <w:p>
            <w:r>
              <w:t>Lifecycle prompt experiment brief</w:t>
            </w:r>
          </w:p>
        </w:tc>
        <w:tc>
          <w:tcPr>
            <w:tcW w:type="dxa" w:w="2340"/>
          </w:tcPr>
          <w:p>
            <w:r>
              <w:t>2026-07-27</w:t>
            </w:r>
          </w:p>
        </w:tc>
        <w:tc>
          <w:tcPr>
            <w:tcW w:type="dxa" w:w="2340"/>
          </w:tcPr>
          <w:p>
            <w:r>
              <w:t>Choose onboarding message and holdout rules.</w:t>
            </w:r>
          </w:p>
        </w:tc>
      </w:tr>
      <w:tr>
        <w:tc>
          <w:tcPr>
            <w:tcW w:type="dxa" w:w="2340"/>
          </w:tcPr>
          <w:p>
            <w:r>
              <w:t>ACT-27C</w:t>
            </w:r>
          </w:p>
        </w:tc>
        <w:tc>
          <w:tcPr>
            <w:tcW w:type="dxa" w:w="2340"/>
          </w:tcPr>
          <w:p>
            <w:r>
              <w:t>Weekly adoption review</w:t>
            </w:r>
          </w:p>
        </w:tc>
        <w:tc>
          <w:tcPr>
            <w:tcW w:type="dxa" w:w="2340"/>
          </w:tcPr>
          <w:p>
            <w:r>
              <w:t>2026-08-03</w:t>
            </w:r>
          </w:p>
        </w:tc>
        <w:tc>
          <w:tcPr>
            <w:tcW w:type="dxa" w:w="2340"/>
          </w:tcPr>
          <w:p>
            <w:r>
              <w:t>Review 18.4% baseline, segment movement, and blockers.</w:t>
            </w:r>
          </w:p>
        </w:tc>
      </w:tr>
      <w:tr>
        <w:tc>
          <w:tcPr>
            <w:tcW w:type="dxa" w:w="2340"/>
          </w:tcPr>
          <w:p>
            <w:r>
              <w:t>ACT-27D</w:t>
            </w:r>
          </w:p>
        </w:tc>
        <w:tc>
          <w:tcPr>
            <w:tcW w:type="dxa" w:w="2340"/>
          </w:tcPr>
          <w:p>
            <w:r>
              <w:t>M-27 readiness review</w:t>
            </w:r>
          </w:p>
        </w:tc>
        <w:tc>
          <w:tcPr>
            <w:tcW w:type="dxa" w:w="2340"/>
          </w:tcPr>
          <w:p>
            <w:r>
              <w:t>2026-09-11</w:t>
            </w:r>
          </w:p>
        </w:tc>
        <w:tc>
          <w:tcPr>
            <w:tcW w:type="dxa" w:w="2340"/>
          </w:tcPr>
          <w:p>
            <w:r>
              <w:t>Confirm launch criteria for 2026-09-18.</w:t>
            </w:r>
          </w:p>
        </w:tc>
      </w:tr>
    </w:tbl>
    <w:p>
      <w:pPr>
        <w:pStyle w:val="Heading1"/>
      </w:pPr>
      <w:r>
        <w:t>Risks and guardrails</w:t>
      </w:r>
    </w:p>
    <w:p>
      <w:pPr>
        <w:pStyle w:val="ListBullet"/>
      </w:pPr>
      <w:r>
        <w:t>Metric drift: ACT-27A is the decision gate before experiment readout.</w:t>
      </w:r>
    </w:p>
    <w:p>
      <w:pPr>
        <w:pStyle w:val="ListBullet"/>
      </w:pPr>
      <w:r>
        <w:t>Prompt fatigue: ACT-27B requires a holdout and a frequency cap.</w:t>
      </w:r>
    </w:p>
    <w:p>
      <w:pPr>
        <w:pStyle w:val="ListBullet"/>
      </w:pPr>
      <w:r>
        <w:t>Readiness ambiguity: ACT-27D checks launch criteria one week before M-27.</w:t>
      </w:r>
    </w:p>
    <w:p>
      <w:pPr>
        <w:pStyle w:val="Heading1"/>
      </w:pPr>
      <w:r>
        <w:t>Local working set</w:t>
      </w:r>
    </w:p>
    <w:p>
      <w:r>
        <w:t>Pinned supporting files: alpha-q3-pre-read.pptx, personal-action-tracker.tsv, cloud-sync-notes.txt, pinned-files.json, and synthetic-sync-trace.pcap. The packet capture is a fabricated offline validation artifact and contains no live or personal data.</w:t>
      </w:r>
    </w:p>
    <w:p>
      <w:pPr>
        <w:pStyle w:val="Heading1"/>
      </w:pPr>
      <w:r>
        <w:t>File use at the 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t>File</w:t>
            </w:r>
          </w:p>
        </w:tc>
        <w:tc>
          <w:tcPr>
            <w:tcW w:type="dxa" w:w="4680"/>
            <w:shd w:fill="D9EAF7"/>
          </w:tcPr>
          <w:p>
            <w:r>
              <w:t>Use in the decision</w:t>
            </w:r>
          </w:p>
        </w:tc>
      </w:tr>
      <w:tr>
        <w:tc>
          <w:tcPr>
            <w:tcW w:type="dxa" w:w="4680"/>
          </w:tcPr>
          <w:p>
            <w:r>
              <w:t>alpha-q3-pre-read.pptx</w:t>
            </w:r>
          </w:p>
        </w:tc>
        <w:tc>
          <w:tcPr>
            <w:tcW w:type="dxa" w:w="4680"/>
          </w:tcPr>
          <w:p>
            <w:r>
              <w:t>Decision narrative and approval request.</w:t>
            </w:r>
          </w:p>
        </w:tc>
      </w:tr>
      <w:tr>
        <w:tc>
          <w:tcPr>
            <w:tcW w:type="dxa" w:w="4680"/>
          </w:tcPr>
          <w:p>
            <w:r>
              <w:t>personal-action-tracker.tsv</w:t>
            </w:r>
          </w:p>
        </w:tc>
        <w:tc>
          <w:tcPr>
            <w:tcW w:type="dxa" w:w="4680"/>
          </w:tcPr>
          <w:p>
            <w:r>
              <w:t>Action IDs, ownership, due dates, and status.</w:t>
            </w:r>
          </w:p>
        </w:tc>
      </w:tr>
      <w:tr>
        <w:tc>
          <w:tcPr>
            <w:tcW w:type="dxa" w:w="4680"/>
          </w:tcPr>
          <w:p>
            <w:r>
              <w:t>cloud-sync-notes.txt</w:t>
            </w:r>
          </w:p>
        </w:tc>
        <w:tc>
          <w:tcPr>
            <w:tcW w:type="dxa" w:w="4680"/>
          </w:tcPr>
          <w:p>
            <w:r>
              <w:t>Offline working notes and trace context.</w:t>
            </w:r>
          </w:p>
        </w:tc>
      </w:tr>
      <w:tr>
        <w:tc>
          <w:tcPr>
            <w:tcW w:type="dxa" w:w="4680"/>
          </w:tcPr>
          <w:p>
            <w:r>
              <w:t>pinned-files.json</w:t>
            </w:r>
          </w:p>
        </w:tc>
        <w:tc>
          <w:tcPr>
            <w:tcW w:type="dxa" w:w="4680"/>
          </w:tcPr>
          <w:p>
            <w:r>
              <w:t>Compact index of the local working set.</w:t>
            </w:r>
          </w:p>
        </w:tc>
      </w:tr>
      <w:tr>
        <w:tc>
          <w:tcPr>
            <w:tcW w:type="dxa" w:w="4680"/>
          </w:tcPr>
          <w:p>
            <w:r>
              <w:t>synthetic-sync-trace.pcap</w:t>
            </w:r>
          </w:p>
        </w:tc>
        <w:tc>
          <w:tcPr>
            <w:tcW w:type="dxa" w:w="4680"/>
          </w:tcPr>
          <w:p>
            <w:r>
              <w:t>Fabricated M-27 UDP sync frames for structural validation.</w:t>
            </w:r>
          </w:p>
        </w:tc>
      </w:tr>
    </w:tbl>
    <w:p>
      <w:pPr>
        <w:pStyle w:val="Heading1"/>
      </w:pPr>
      <w:r>
        <w:t>Decision record</w:t>
      </w:r>
    </w:p>
    <w:p>
      <w:r>
        <w:t>If approved, PM-local-08 will publish ACT-27A first, preserve the ACT-27B holdout, and use the ACT-27C weekly review to identify whether the planned path remains sufficient for the M-27 objective.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Juniper Works | Product Alpha Q3 | PM-local-08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roadmap draft</dc:title>
  <dc:subject>Product Alpha Q3 decision memo</dc:subject>
  <dc:creator>PM-local-08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