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 Display" w:hAnsi="Aptos Display"/>
          <w:b/>
          <w:color w:val="17324D"/>
          <w:sz w:val="48"/>
        </w:rPr>
        <w:t>Decision memo: hold M-27 to the adoption path</w:t>
      </w:r>
    </w:p>
    <w:p>
      <w:pPr>
        <w:spacing w:after="320"/>
      </w:pPr>
      <w:r>
        <w:rPr>
          <w:rFonts w:ascii="Aptos" w:hAnsi="Aptos"/>
          <w:i/>
          <w:color w:val="5B6770"/>
          <w:sz w:val="20"/>
        </w:rPr>
        <w:t>Juniper Works | Product Alpha Q3 | 2026-07-13 | draft for portfolio review</w:t>
      </w:r>
    </w:p>
    <w:p>
      <w:pPr>
        <w:pStyle w:val="Heading1"/>
      </w:pPr>
      <w:r>
        <w:t>Recommendation</w:t>
      </w:r>
    </w:p>
    <w:p>
      <w:r>
        <w:rPr>
          <w:b/>
        </w:rPr>
        <w:t xml:space="preserve">Proceed with a focused M-27 release on 2026-09-18. </w:t>
      </w:r>
      <w:r>
        <w:t>Ship the guided setup checklist, adoption pulse, and empty-state rewrite together; defer advanced CSV export until the reporting schema is settled.</w:t>
      </w:r>
    </w:p>
    <w:p>
      <w:pPr>
        <w:pStyle w:val="Heading1"/>
      </w:pPr>
      <w:r>
        <w:t>Why this is the smallest credible bet</w:t>
      </w:r>
    </w:p>
    <w:p>
      <w:r>
        <w:t>Product Alpha adoption is 18.4% across 1,240 synthetic workspaces. The Q3 operating target is 26.0%. Current friction is less about creating a first workflow than recognizing the next responsible action and confirming weekly progress.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88"/>
            <w:shd w:fill="17324D"/>
          </w:tcPr>
          <w:p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5184"/>
            <w:shd w:fill="17324D"/>
          </w:tcPr>
          <w:p>
            <w:r>
              <w:rPr>
                <w:b/>
                <w:color w:val="FFFFFF"/>
                <w:sz w:val="18"/>
              </w:rPr>
              <w:t>Expected effect</w:t>
            </w:r>
          </w:p>
        </w:tc>
        <w:tc>
          <w:tcPr>
            <w:tcW w:type="dxa" w:w="1728"/>
            <w:shd w:fill="17324D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>
              <w:t>Focused M-27 bundle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t>Targets next-action clarity and weekly visibility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>
              <w:t>Recommend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>
              <w:t>Add advanced CSV export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t>Useful to a narrow admin segment; blocked by schema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>
              <w:t>Defer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/>
            </w:pPr>
            <w:r>
              <w:t>Ship checklist alone</w:t>
            </w:r>
          </w:p>
        </w:tc>
        <w:tc>
          <w:tcPr>
            <w:tcW w:type="dxa" w:w="5184"/>
            <w:vAlign w:val="top"/>
          </w:tcPr>
          <w:p>
            <w:pPr>
              <w:spacing w:after="40"/>
            </w:pPr>
            <w:r>
              <w:t>Reduces setup friction but leaves progress opaque</w:t>
            </w:r>
          </w:p>
        </w:tc>
        <w:tc>
          <w:tcPr>
            <w:tcW w:type="dxa" w:w="1728"/>
            <w:vAlign w:val="top"/>
          </w:tcPr>
          <w:p>
            <w:pPr>
              <w:spacing w:after="40"/>
            </w:pPr>
            <w:r>
              <w:t>Do not split</w:t>
            </w:r>
          </w:p>
        </w:tc>
      </w:tr>
    </w:tbl>
    <w:p>
      <w:pPr>
        <w:spacing w:after="40"/>
      </w:pPr>
    </w:p>
    <w:p>
      <w:pPr>
        <w:pStyle w:val="Heading1"/>
      </w:pPr>
      <w:r>
        <w:t>Scope and success signal</w:t>
      </w:r>
    </w:p>
    <w:p>
      <w:r>
        <w:t>The release is successful if activated-workspace adoption moves toward 26.0% without increasing support contacts for setup ambiguity. Analytics will report the activated cohort weekly, not invite volume.</w:t>
      </w:r>
    </w:p>
    <w:p>
      <w:pPr>
        <w:pStyle w:val="Heading1"/>
      </w:pPr>
      <w:r>
        <w:t>Decision needed this week</w:t>
      </w:r>
    </w:p>
    <w:p>
      <w:pPr>
        <w:pStyle w:val="ListBullet"/>
      </w:pPr>
      <w:r>
        <w:t>Approve the Sep 18 M-27 cut line and the three-item bundle.</w:t>
      </w:r>
    </w:p>
    <w:p>
      <w:pPr>
        <w:pStyle w:val="ListBullet"/>
      </w:pPr>
      <w:r>
        <w:t>Accept the reporting-schema risk as a release dependency.</w:t>
      </w:r>
    </w:p>
    <w:p>
      <w:pPr>
        <w:pStyle w:val="ListBullet"/>
      </w:pPr>
      <w:r>
        <w:t>Authorize Design to finalize empty-state language by Jul 17.</w:t>
      </w:r>
    </w:p>
    <w:p>
      <w:r>
        <w:rPr>
          <w:i/>
        </w:rPr>
        <w:t>Synthetic planning artifact. No customer, employee, or production data is represented.</w:t>
      </w:r>
    </w:p>
    <w:sectPr w:rsidR="00FC693F" w:rsidRPr="0006063C" w:rsidSect="00034616"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