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 Display" w:hAnsi="Aptos Display"/>
          <w:b/>
          <w:color w:val="17324D"/>
          <w:sz w:val="48"/>
        </w:rPr>
        <w:t>Working PRD notes: Product Alpha Q3 adoption pulse</w:t>
      </w:r>
    </w:p>
    <w:p>
      <w:pPr>
        <w:spacing w:after="320"/>
      </w:pPr>
      <w:r>
        <w:rPr>
          <w:rFonts w:ascii="Aptos" w:hAnsi="Aptos"/>
          <w:i/>
          <w:color w:val="5B6770"/>
          <w:sz w:val="20"/>
        </w:rPr>
        <w:t>Juniper Works | M-27 candidate | working draft | 2026-07-13</w:t>
      </w:r>
    </w:p>
    <w:p>
      <w:pPr>
        <w:pStyle w:val="Heading1"/>
      </w:pPr>
      <w:r>
        <w:t>Problem statement</w:t>
      </w:r>
    </w:p>
    <w:p>
      <w:r>
        <w:t>Workspace admins complete initial setup but cannot quickly answer whether adoption is progressing or who needs to act next. At 18.4% adoption across 1,240 synthetic workspaces, the team needs a compact weekly signal before expanding reporting surfaces.</w:t>
      </w:r>
    </w:p>
    <w:p>
      <w:pPr>
        <w:pStyle w:val="Heading1"/>
      </w:pPr>
      <w:r>
        <w:t>Proposed experience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72"/>
            <w:shd w:fill="17324D"/>
          </w:tcPr>
          <w:p>
            <w:r>
              <w:rPr>
                <w:b/>
                <w:color w:val="FFFFFF"/>
                <w:sz w:val="18"/>
              </w:rPr>
              <w:t>Moment</w:t>
            </w:r>
          </w:p>
        </w:tc>
        <w:tc>
          <w:tcPr>
            <w:tcW w:type="dxa" w:w="3240"/>
            <w:shd w:fill="17324D"/>
          </w:tcPr>
          <w:p>
            <w:r>
              <w:rPr>
                <w:b/>
                <w:color w:val="FFFFFF"/>
                <w:sz w:val="18"/>
              </w:rPr>
              <w:t>User need</w:t>
            </w:r>
          </w:p>
        </w:tc>
        <w:tc>
          <w:tcPr>
            <w:tcW w:type="dxa" w:w="3888"/>
            <w:shd w:fill="17324D"/>
          </w:tcPr>
          <w:p>
            <w:r>
              <w:rPr>
                <w:b/>
                <w:color w:val="FFFFFF"/>
                <w:sz w:val="18"/>
              </w:rPr>
              <w:t>M-27 behavior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/>
            </w:pPr>
            <w:r>
              <w:t>After setup</w:t>
            </w:r>
          </w:p>
        </w:tc>
        <w:tc>
          <w:tcPr>
            <w:tcW w:type="dxa" w:w="3240"/>
            <w:vAlign w:val="top"/>
          </w:tcPr>
          <w:p>
            <w:pPr>
              <w:spacing w:after="40"/>
            </w:pPr>
            <w:r>
              <w:t>Know what happens next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t>Checklist marks the next teammate action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/>
            </w:pPr>
            <w:r>
              <w:t>Weekly review</w:t>
            </w:r>
          </w:p>
        </w:tc>
        <w:tc>
          <w:tcPr>
            <w:tcW w:type="dxa" w:w="3240"/>
            <w:vAlign w:val="top"/>
          </w:tcPr>
          <w:p>
            <w:pPr>
              <w:spacing w:after="40"/>
            </w:pPr>
            <w:r>
              <w:t>See whether activation is moving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t>Pulse shows activated-workspace adoption vs 26.0% target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/>
            </w:pPr>
            <w:r>
              <w:t>No activity</w:t>
            </w:r>
          </w:p>
        </w:tc>
        <w:tc>
          <w:tcPr>
            <w:tcW w:type="dxa" w:w="3240"/>
            <w:vAlign w:val="top"/>
          </w:tcPr>
          <w:p>
            <w:pPr>
              <w:spacing w:after="40"/>
            </w:pPr>
            <w:r>
              <w:t>Understand the empty state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>
              <w:t>Clear copy explains the first action and timing</w:t>
            </w:r>
          </w:p>
        </w:tc>
      </w:tr>
    </w:tbl>
    <w:p>
      <w:pPr>
        <w:spacing w:after="40"/>
      </w:pPr>
    </w:p>
    <w:p>
      <w:pPr>
        <w:pStyle w:val="Heading1"/>
      </w:pPr>
      <w:r>
        <w:t>Requirements</w:t>
      </w:r>
    </w:p>
    <w:p>
      <w:pPr>
        <w:pStyle w:val="ListBullet"/>
      </w:pPr>
      <w:r>
        <w:t>Show baseline adoption of 18.4% and a Q3 target of 26.0%.</w:t>
      </w:r>
    </w:p>
    <w:p>
      <w:pPr>
        <w:pStyle w:val="ListBullet"/>
      </w:pPr>
      <w:r>
        <w:t>Use only aggregated synthetic workspace counts; no individual activity feed.</w:t>
      </w:r>
    </w:p>
    <w:p>
      <w:pPr>
        <w:pStyle w:val="ListBullet"/>
      </w:pPr>
      <w:r>
        <w:t>Expose a dated snapshot and an “updated weekly” indicator.</w:t>
      </w:r>
    </w:p>
    <w:p>
      <w:pPr>
        <w:pStyle w:val="ListBullet"/>
      </w:pPr>
      <w:r>
        <w:t>Keep advanced CSV export out of the M-27 scope.</w:t>
      </w:r>
    </w:p>
    <w:p>
      <w:pPr>
        <w:pStyle w:val="Heading1"/>
      </w:pPr>
      <w:r>
        <w:t>Open questions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5616"/>
            <w:shd w:fill="17324D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1872"/>
            <w:shd w:fill="17324D"/>
          </w:tcPr>
          <w:p>
            <w:r>
              <w:rPr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1440"/>
            <w:shd w:fill="17324D"/>
          </w:tcPr>
          <w:p>
            <w:r>
              <w:rPr>
                <w:b/>
                <w:color w:val="FFFFFF"/>
                <w:sz w:val="18"/>
              </w:rPr>
              <w:t>By when</w:t>
            </w:r>
          </w:p>
        </w:tc>
      </w:tr>
      <w:tr>
        <w:tc>
          <w:tcPr>
            <w:tcW w:type="dxa" w:w="5616"/>
            <w:vAlign w:val="top"/>
          </w:tcPr>
          <w:p>
            <w:pPr>
              <w:spacing w:after="40"/>
            </w:pPr>
            <w:r>
              <w:t>Can the reporting schema support a stable weekly denominator?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t>Analytics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t>Jul 16</w:t>
            </w:r>
          </w:p>
        </w:tc>
      </w:tr>
      <w:tr>
        <w:tc>
          <w:tcPr>
            <w:tcW w:type="dxa" w:w="5616"/>
            <w:vAlign w:val="top"/>
          </w:tcPr>
          <w:p>
            <w:pPr>
              <w:spacing w:after="40"/>
            </w:pPr>
            <w:r>
              <w:t>Which empty-state variant reduces confusion without adding UI weight?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t>Design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t>Jul 17</w:t>
            </w:r>
          </w:p>
        </w:tc>
      </w:tr>
      <w:tr>
        <w:tc>
          <w:tcPr>
            <w:tcW w:type="dxa" w:w="5616"/>
            <w:vAlign w:val="top"/>
          </w:tcPr>
          <w:p>
            <w:pPr>
              <w:spacing w:after="40"/>
            </w:pPr>
            <w:r>
              <w:t>What is the support escalation threshold after launch?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t>Product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t>Aug 21</w:t>
            </w:r>
          </w:p>
        </w:tc>
      </w:tr>
    </w:tbl>
    <w:p>
      <w:pPr>
        <w:spacing w:after="40"/>
      </w:pPr>
    </w:p>
    <w:p>
      <w:pPr>
        <w:pStyle w:val="Heading1"/>
      </w:pPr>
      <w:r>
        <w:t>Acceptance notes</w:t>
      </w:r>
    </w:p>
    <w:p>
      <w:r>
        <w:t>Before M-27 on 2026-09-18, the pulse must show a legible trend label, a coherent denominator note, and a safe empty state. This draft is intentionally incomplete pending the schema decision.</w:t>
      </w:r>
    </w:p>
    <w:sectPr w:rsidR="00FC693F" w:rsidRPr="0006063C" w:rsidSect="00034616"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