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D78"/>
          <w:sz w:val="20"/>
        </w:rPr>
        <w:t>JUNIPER WORKS</w:t>
      </w:r>
    </w:p>
    <w:p>
      <w:pPr>
        <w:spacing w:after="80"/>
      </w:pPr>
      <w:r>
        <w:rPr>
          <w:b/>
          <w:color w:val="0B2545"/>
          <w:sz w:val="48"/>
        </w:rPr>
        <w:t>Product Operations Handbook</w:t>
      </w:r>
    </w:p>
    <w:p>
      <w:pPr>
        <w:spacing w:after="280"/>
      </w:pPr>
      <w:r>
        <w:rPr>
          <w:color w:val="505050"/>
          <w:sz w:val="24"/>
        </w:rPr>
        <w:t>Operating agreements for Product Alpha Q3 planning and delivery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Context</w:t>
              <w:br/>
            </w:r>
            <w:r>
              <w:rPr>
                <w:sz w:val="20"/>
              </w:rPr>
              <w:t>Product Alpha Q3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As of</w:t>
              <w:br/>
            </w:r>
            <w:r>
              <w:rPr>
                <w:sz w:val="20"/>
              </w:rPr>
              <w:t>2026-07-13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Milestone</w:t>
              <w:br/>
            </w:r>
            <w:r>
              <w:rPr>
                <w:sz w:val="20"/>
              </w:rPr>
              <w:t>M-27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/>
            <w:r>
              <w:rPr>
                <w:b/>
                <w:color w:val="1F4D78"/>
                <w:sz w:val="16"/>
              </w:rPr>
              <w:t>Adoption baseline</w:t>
              <w:br/>
            </w:r>
            <w:r>
              <w:rPr>
                <w:sz w:val="20"/>
              </w:rPr>
              <w:t>228 / 1,240 = 18.4%</w:t>
            </w:r>
          </w:p>
        </w:tc>
      </w:tr>
    </w:tbl>
    <w:p/>
    <w:p>
      <w:pPr>
        <w:pStyle w:val="Heading1"/>
      </w:pPr>
      <w:r>
        <w:t>1. Operating intent</w:t>
      </w:r>
    </w:p>
    <w:p>
      <w:pPr>
        <w:pStyle w:val="ListBullet"/>
      </w:pPr>
      <w:r>
        <w:t>Use one shared definition of adoption: a workspace counts when it completes its first governed workflow within 14 days of enablement.</w:t>
      </w:r>
    </w:p>
    <w:p>
      <w:pPr>
        <w:pStyle w:val="ListBullet"/>
      </w:pPr>
      <w:r>
        <w:t>M-27 is the July planning checkpoint; decisions are recorded after the weekly portfolio review.</w:t>
      </w:r>
    </w:p>
    <w:p>
      <w:pPr>
        <w:pStyle w:val="ListBullet"/>
      </w:pPr>
      <w:r>
        <w:t>Q3 target is 26.0%; baseline is 18.4% (228 of 1,240 eligible workspaces).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Cadence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Owner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Output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Monday metric review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Analytics partner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Metric health note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Wednesday triage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PM + Eng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 log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Friday portfolio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 leadership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M-27 updates</w:t>
            </w:r>
          </w:p>
        </w:tc>
      </w:tr>
    </w:tbl>
    <w:p/>
    <w:p>
      <w:r>
        <w:br w:type="page"/>
      </w:r>
    </w:p>
    <w:p>
      <w:pPr>
        <w:pStyle w:val="Heading1"/>
      </w:pPr>
      <w:r>
        <w:t>2. Metric governance</w:t>
      </w:r>
    </w:p>
    <w:p>
      <w:pPr>
        <w:pStyle w:val="ListBullet"/>
      </w:pPr>
      <w:r>
        <w:t>Metric owners publish numerator, denominator, inclusion rules, and refresh time.</w:t>
      </w:r>
    </w:p>
    <w:p>
      <w:pPr>
        <w:pStyle w:val="ListBullet"/>
      </w:pPr>
      <w:r>
        <w:t>No roadmap status may claim adoption progress without the taxonomy event and cohort label.</w:t>
      </w:r>
    </w:p>
    <w:p>
      <w:pPr>
        <w:pStyle w:val="ListBullet"/>
      </w:pPr>
      <w:r>
        <w:t>A metric exception expires after two reporting cycles unless renewed.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Metric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Definition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Guardrail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Adoption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Activated / eligible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14-day window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Activation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First governed workflow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Exclude test tenants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Eligible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Provisioned + invited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Exclude paused</w:t>
            </w:r>
          </w:p>
        </w:tc>
      </w:tr>
    </w:tbl>
    <w:p/>
    <w:p>
      <w:r>
        <w:br w:type="page"/>
      </w:r>
    </w:p>
    <w:p>
      <w:pPr>
        <w:pStyle w:val="Heading1"/>
      </w:pPr>
      <w:r>
        <w:t>3. Roadmap decision rights</w:t>
      </w:r>
    </w:p>
    <w:p>
      <w:pPr>
        <w:pStyle w:val="ListBullet"/>
      </w:pPr>
      <w:r>
        <w:t>PM owns problem framing and outcome hypothesis.</w:t>
      </w:r>
    </w:p>
    <w:p>
      <w:pPr>
        <w:pStyle w:val="ListBullet"/>
      </w:pPr>
      <w:r>
        <w:t>Engineering owns feasibility and delivery confidence.</w:t>
      </w:r>
    </w:p>
    <w:p>
      <w:pPr>
        <w:pStyle w:val="ListBullet"/>
      </w:pPr>
      <w:r>
        <w:t>Design owns experience quality and research synthesis.</w:t>
      </w:r>
    </w:p>
    <w:p>
      <w:pPr>
        <w:pStyle w:val="ListBullet"/>
      </w:pPr>
      <w:r>
        <w:t>Portfolio chair resolves cross-product sequencing conflicts.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Decision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DRI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Consulted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Scope trade-off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PM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Engineering, Design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Release readiness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Engineering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PM, Support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Target revision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Portfolio chair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Analytics, Finance</w:t>
            </w:r>
          </w:p>
        </w:tc>
      </w:tr>
    </w:tbl>
    <w:p/>
    <w:p>
      <w:r>
        <w:br w:type="page"/>
      </w:r>
    </w:p>
    <w:p>
      <w:pPr>
        <w:pStyle w:val="Heading1"/>
      </w:pPr>
      <w:r>
        <w:t>4. Templates that travel</w:t>
      </w:r>
    </w:p>
    <w:p>
      <w:pPr>
        <w:pStyle w:val="ListBullet"/>
      </w:pPr>
      <w:r>
        <w:t>Use a one-page opportunity brief before discovery starts.</w:t>
      </w:r>
    </w:p>
    <w:p>
      <w:pPr>
        <w:pStyle w:val="ListBullet"/>
      </w:pPr>
      <w:r>
        <w:t>A PRD must name the metric event, cohort, owner, and launch decision.</w:t>
      </w:r>
    </w:p>
    <w:p>
      <w:pPr>
        <w:pStyle w:val="ListBullet"/>
      </w:pPr>
      <w:r>
        <w:t>Every dependency has a named accepter and a latest-needed date.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Template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Minimum fields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Storage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Opportunity brief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Problem, evidence, outcome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/discovery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PRD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User flow, metric, risks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/prds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 note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Options, owner, date</w:t>
            </w:r>
          </w:p>
        </w:tc>
        <w:tc>
          <w:tcPr>
            <w:tcW w:type="dxa" w:w="31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/decisions</w:t>
            </w:r>
          </w:p>
        </w:tc>
      </w:tr>
    </w:tbl>
    <w:p/>
    <w:p>
      <w:r>
        <w:br w:type="page"/>
      </w:r>
    </w:p>
    <w:p>
      <w:pPr>
        <w:pStyle w:val="Heading1"/>
      </w:pPr>
      <w:r>
        <w:t>5. M-27 review example</w:t>
      </w:r>
    </w:p>
    <w:p>
      <w:pPr>
        <w:pStyle w:val="ListBullet"/>
      </w:pPr>
      <w:r>
        <w:t>Signal: activation is improving in new workspaces, but governed workflow completion remains below target.</w:t>
      </w:r>
    </w:p>
    <w:p>
      <w:pPr>
        <w:pStyle w:val="ListBullet"/>
      </w:pPr>
      <w:r>
        <w:t>Decision: protect onboarding instrumentation; defer non-critical customization to the next planning window.</w:t>
      </w:r>
    </w:p>
    <w:p>
      <w:pPr>
        <w:pStyle w:val="ListBullet"/>
      </w:pPr>
      <w:r>
        <w:t>Follow-up: analytics validates cohort exclusions by 2026-07-17.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Question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r>
              <w:t>Answer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What changes this week?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Instrumentation capacity is protected.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What is the success gate?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26.0% adoption with stable denominator.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Who closes the loop?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PM and Analytics partner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Internal reference | FY2026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JUNIPER WORKS  /  PRODUCT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