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D78"/>
          <w:sz w:val="20"/>
        </w:rPr>
        <w:t>JUNIPER WORKS</w:t>
      </w:r>
    </w:p>
    <w:p>
      <w:pPr>
        <w:spacing w:after="80"/>
      </w:pPr>
      <w:r>
        <w:rPr>
          <w:b/>
          <w:color w:val="0B2545"/>
          <w:sz w:val="48"/>
        </w:rPr>
        <w:t>Writing Good PRDs</w:t>
      </w:r>
    </w:p>
    <w:p>
      <w:pPr>
        <w:spacing w:after="280"/>
      </w:pPr>
      <w:r>
        <w:rPr>
          <w:color w:val="505050"/>
          <w:sz w:val="24"/>
        </w:rPr>
        <w:t>A practical reference for decision-ready Product Alpha Q3 specifications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/>
            <w:r>
              <w:rPr>
                <w:b/>
                <w:color w:val="1F4D78"/>
                <w:sz w:val="16"/>
              </w:rPr>
              <w:t>Context</w:t>
              <w:br/>
            </w:r>
            <w:r>
              <w:rPr>
                <w:sz w:val="20"/>
              </w:rPr>
              <w:t>Product Alpha Q3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/>
            <w:r>
              <w:rPr>
                <w:b/>
                <w:color w:val="1F4D78"/>
                <w:sz w:val="16"/>
              </w:rPr>
              <w:t>As of</w:t>
              <w:br/>
            </w:r>
            <w:r>
              <w:rPr>
                <w:sz w:val="20"/>
              </w:rPr>
              <w:t>2026-07-13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/>
            <w:r>
              <w:rPr>
                <w:b/>
                <w:color w:val="1F4D78"/>
                <w:sz w:val="16"/>
              </w:rPr>
              <w:t>Milestone</w:t>
              <w:br/>
            </w:r>
            <w:r>
              <w:rPr>
                <w:sz w:val="20"/>
              </w:rPr>
              <w:t>M-27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/>
            <w:r>
              <w:rPr>
                <w:b/>
                <w:color w:val="1F4D78"/>
                <w:sz w:val="16"/>
              </w:rPr>
              <w:t>Adoption baseline</w:t>
              <w:br/>
            </w:r>
            <w:r>
              <w:rPr>
                <w:sz w:val="20"/>
              </w:rPr>
              <w:t>228 / 1,240 = 18.4%</w:t>
            </w:r>
          </w:p>
        </w:tc>
      </w:tr>
    </w:tbl>
    <w:p/>
    <w:p>
      <w:pPr>
        <w:pStyle w:val="Heading1"/>
      </w:pPr>
      <w:r>
        <w:t>1. Start with the decision</w:t>
      </w:r>
    </w:p>
    <w:p>
      <w:pPr>
        <w:pStyle w:val="ListBullet"/>
      </w:pPr>
      <w:r>
        <w:t>Write the user problem before the solution. State what must be true at M-27.</w:t>
      </w:r>
    </w:p>
    <w:p>
      <w:pPr>
        <w:pStyle w:val="ListBullet"/>
      </w:pPr>
      <w:r>
        <w:t>Name the primary measure and its denominator. For Q3, adoption is 228/1,240 = 18.4%, with a 26.0% target.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PRD field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Good evidence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Problem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Observed workflow friction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Outcome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Adoption reaches 26.0%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Boundary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What will not ship</w:t>
            </w:r>
          </w:p>
        </w:tc>
      </w:tr>
    </w:tbl>
    <w:p/>
    <w:p>
      <w:r>
        <w:br w:type="page"/>
      </w:r>
    </w:p>
    <w:p>
      <w:pPr>
        <w:pStyle w:val="Heading1"/>
      </w:pPr>
      <w:r>
        <w:t>2. Define the metric contract</w:t>
      </w:r>
    </w:p>
    <w:p>
      <w:pPr>
        <w:pStyle w:val="ListBullet"/>
      </w:pPr>
      <w:r>
        <w:t>Metric names are insufficient. Include event, cohort, calculation, refresh timing, and owner.</w:t>
      </w:r>
    </w:p>
    <w:p>
      <w:pPr>
        <w:pStyle w:val="ListBullet"/>
      </w:pPr>
      <w:r>
        <w:t>Use the portfolio glossary exactly; do not rename activation or eligible workspace in a PRD.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Field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Example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governed_workflow_completed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Cohort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eligible workspaces enabled in Q3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Calculation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activated / eligible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Analytics partner</w:t>
            </w:r>
          </w:p>
        </w:tc>
      </w:tr>
    </w:tbl>
    <w:p/>
    <w:p>
      <w:r>
        <w:br w:type="page"/>
      </w:r>
    </w:p>
    <w:p>
      <w:pPr>
        <w:pStyle w:val="Heading1"/>
      </w:pPr>
      <w:r>
        <w:t>3. Make trade-offs explicit</w:t>
      </w:r>
    </w:p>
    <w:p>
      <w:pPr>
        <w:pStyle w:val="ListBullet"/>
      </w:pPr>
      <w:r>
        <w:t>A useful PRD presents options, not a hidden conclusion.</w:t>
      </w:r>
    </w:p>
    <w:p>
      <w:pPr>
        <w:pStyle w:val="ListBullet"/>
      </w:pPr>
      <w:r>
        <w:t>Record a reversible decision separately from a launch gate.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Option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Benefit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Cost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Instrument first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Trusted reading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Delays customization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Customize first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Near-term appeal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Weak evidence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Defer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Protects capacity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Slower learning</w:t>
            </w:r>
          </w:p>
        </w:tc>
      </w:tr>
    </w:tbl>
    <w:p/>
    <w:p>
      <w:r>
        <w:br w:type="page"/>
      </w:r>
    </w:p>
    <w:p>
      <w:pPr>
        <w:pStyle w:val="Heading1"/>
      </w:pPr>
      <w:r>
        <w:t>4. Specify the release gate</w:t>
      </w:r>
    </w:p>
    <w:p>
      <w:pPr>
        <w:pStyle w:val="ListBullet"/>
      </w:pPr>
      <w:r>
        <w:t>Launch gates combine product behavior, measurement, support readiness, and a decision owner.</w:t>
      </w:r>
    </w:p>
    <w:p>
      <w:pPr>
        <w:pStyle w:val="ListBullet"/>
      </w:pPr>
      <w:r>
        <w:t>Use a single sentence that can be tested in a review.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Gate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Pass condition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Behavior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First governed workflow completes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Measurement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Event present for cohort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Support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Known issue response published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PM confirms readiness</w:t>
            </w:r>
          </w:p>
        </w:tc>
      </w:tr>
    </w:tbl>
    <w:p/>
    <w:p>
      <w:r>
        <w:br w:type="page"/>
      </w:r>
    </w:p>
    <w:p>
      <w:pPr>
        <w:pStyle w:val="Heading1"/>
      </w:pPr>
      <w:r>
        <w:t>5. Use examples, then review</w:t>
      </w:r>
    </w:p>
    <w:p>
      <w:pPr>
        <w:pStyle w:val="ListBullet"/>
      </w:pPr>
      <w:r>
        <w:t>Example problem: new workspace owners cannot see the first governed workflow without help.</w:t>
      </w:r>
    </w:p>
    <w:p>
      <w:pPr>
        <w:pStyle w:val="ListBullet"/>
      </w:pPr>
      <w:r>
        <w:t>Example outcome: improve 14-day adoption from 18.4% to 26.0% while holding the eligible definition constant.</w:t>
      </w:r>
    </w:p>
    <w:p>
      <w:pPr>
        <w:pStyle w:val="ListBullet"/>
      </w:pPr>
      <w:r>
        <w:t>Review checklist: evidence, metric, non-goals, risks, owner, and decision date are all explicit.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Review question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Expected answer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Can someone calculate success?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Yes, from the metric contract.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Can engineering size it?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Yes, from behavior and boundaries.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Can leadership decide?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Yes, from options and gate.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Internal reference | FY2026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JUNIPER WORKS  /  PRODUCT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