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7324D"/>
          <w:sz w:val="44"/>
        </w:rPr>
        <w:t>Vendor integration overview</w:t>
      </w:r>
    </w:p>
    <w:p>
      <w:r>
        <w:rPr>
          <w:color w:val="546E7A"/>
          <w:sz w:val="18"/>
        </w:rPr>
        <w:t>Fictional partner briefing | Product Alpha Q3 | received 13 July 2026</w:t>
      </w:r>
    </w:p>
    <w:p>
      <w:r>
        <w:rPr>
          <w:b/>
          <w:color w:val="0E6B7B"/>
          <w:sz w:val="26"/>
        </w:rPr>
        <w:t>Purpose</w:t>
      </w:r>
    </w:p>
    <w:p>
      <w:pPr/>
      <w:r>
        <w:rPr>
          <w:sz w:val="20"/>
        </w:rPr>
        <w:t>This fictional overview summarizes an external integration concept for Product Alpha. It is a planning reference only; no commercial commitments, credentials, customer records, or real vendor identifiers are included.</w:t>
      </w:r>
    </w:p>
    <w:p>
      <w:r>
        <w:rPr>
          <w:b/>
          <w:color w:val="0E6B7B"/>
          <w:sz w:val="26"/>
        </w:rPr>
        <w:t>What the connector would provide</w:t>
      </w:r>
    </w:p>
    <w:p>
      <w:pPr/>
      <w:r>
        <w:rPr>
          <w:sz w:val="20"/>
        </w:rPr>
        <w:t>A normalized workspace event feed, a lightweight status callback, and a weekly adoption snapshot. The shared review lens remains 1,240 workspaces and adoption movement from 18.4% to 26.0%.</w:t>
      </w:r>
    </w:p>
    <w:p>
      <w:r>
        <w:rPr>
          <w:b/>
          <w:color w:val="0E6B7B"/>
          <w:sz w:val="26"/>
        </w:rPr>
        <w:t>Operating assumptions</w:t>
      </w:r>
    </w:p>
    <w:p>
      <w:pPr/>
      <w:r>
        <w:rPr>
          <w:sz w:val="20"/>
        </w:rPr>
        <w:t>The integration team supplies synthetic test events. Product analytics owns metric definitions. Support operations maps incoming cases to the Product Alpha taxonomy before M-27 on 18 September 2026.</w:t>
      </w:r>
    </w:p>
    <w:p>
      <w:r>
        <w:rPr>
          <w:b/>
          <w:color w:val="0E6B7B"/>
          <w:sz w:val="26"/>
        </w:rPr>
        <w:t>Questions for M-27</w:t>
      </w:r>
    </w:p>
    <w:p>
      <w:pPr/>
      <w:r>
        <w:rPr>
          <w:sz w:val="20"/>
        </w:rPr>
        <w:t>Which event is the durable activation signal? Which segments need a separate onboarding path? What evidence is sufficient to move from planning to an implementation decision?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Area</w:t>
            </w:r>
          </w:p>
        </w:tc>
        <w:tc>
          <w:tcPr>
            <w:tcW w:type="dxa" w:w="3312"/>
          </w:tcPr>
          <w:p>
            <w:r>
              <w:t>Input</w:t>
            </w:r>
          </w:p>
        </w:tc>
        <w:tc>
          <w:tcPr>
            <w:tcW w:type="dxa" w:w="3312"/>
          </w:tcPr>
          <w:p>
            <w:r>
              <w:t>Review point</w:t>
            </w:r>
          </w:p>
        </w:tc>
      </w:tr>
      <w:tr>
        <w:tc>
          <w:tcPr>
            <w:tcW w:type="dxa" w:w="3312"/>
          </w:tcPr>
          <w:p>
            <w:r>
              <w:t>Metrics</w:t>
            </w:r>
          </w:p>
        </w:tc>
        <w:tc>
          <w:tcPr>
            <w:tcW w:type="dxa" w:w="3312"/>
          </w:tcPr>
          <w:p>
            <w:r>
              <w:t>Synthetic adoption export</w:t>
            </w:r>
          </w:p>
        </w:tc>
        <w:tc>
          <w:tcPr>
            <w:tcW w:type="dxa" w:w="3312"/>
          </w:tcPr>
          <w:p>
            <w:r>
              <w:t>Definition alignment</w:t>
            </w:r>
          </w:p>
        </w:tc>
      </w:tr>
      <w:tr>
        <w:tc>
          <w:tcPr>
            <w:tcW w:type="dxa" w:w="3312"/>
          </w:tcPr>
          <w:p>
            <w:r>
              <w:t>Support</w:t>
            </w:r>
          </w:p>
        </w:tc>
        <w:tc>
          <w:tcPr>
            <w:tcW w:type="dxa" w:w="3312"/>
          </w:tcPr>
          <w:p>
            <w:r>
              <w:t>Case taxonomy</w:t>
            </w:r>
          </w:p>
        </w:tc>
        <w:tc>
          <w:tcPr>
            <w:tcW w:type="dxa" w:w="3312"/>
          </w:tcPr>
          <w:p>
            <w:r>
              <w:t>Tag mapping</w:t>
            </w:r>
          </w:p>
        </w:tc>
      </w:tr>
      <w:tr>
        <w:tc>
          <w:tcPr>
            <w:tcW w:type="dxa" w:w="3312"/>
          </w:tcPr>
          <w:p>
            <w:r>
              <w:t>Milestone</w:t>
            </w:r>
          </w:p>
        </w:tc>
        <w:tc>
          <w:tcPr>
            <w:tcW w:type="dxa" w:w="3312"/>
          </w:tcPr>
          <w:p>
            <w:r>
              <w:t>M-27, 18 Sep 2026</w:t>
            </w:r>
          </w:p>
        </w:tc>
        <w:tc>
          <w:tcPr>
            <w:tcW w:type="dxa" w:w="3312"/>
          </w:tcPr>
          <w:p>
            <w:r>
              <w:t>Decision packet</w:t>
            </w:r>
          </w:p>
        </w:tc>
      </w:tr>
    </w:tbl>
    <w:sectPr w:rsidR="00FC693F" w:rsidRPr="0006063C" w:rsidSect="00034616"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