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0B2545"/>
          <w:sz w:val="46"/>
        </w:rPr>
        <w:t>DECISION MEMO</w:t>
      </w:r>
    </w:p>
    <w:p>
      <w:pPr>
        <w:spacing w:after="280" w:line="264" w:lineRule="auto"/>
      </w:pPr>
      <w:r>
        <w:rPr>
          <w:rFonts w:ascii="Arial" w:hAnsi="Arial"/>
          <w:b w:val="0"/>
          <w:color w:val="4A5563"/>
          <w:sz w:val="28"/>
        </w:rPr>
        <w:t>M-27 adoption path: guided setup, measurable activation, and pilot enablement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/>
            <w:r>
              <w:rPr>
                <w:rFonts w:ascii="Arial" w:hAnsi="Arial"/>
                <w:b/>
                <w:color w:val="1F4D78"/>
                <w:sz w:val="20"/>
              </w:rPr>
              <w:t>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role:product-alpha-leadership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/>
            <w:r>
              <w:rPr>
                <w:rFonts w:ascii="Arial" w:hAnsi="Arial"/>
                <w:b/>
                <w:color w:val="1F4D78"/>
                <w:sz w:val="20"/>
              </w:rPr>
              <w:t>From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role:pm-product-alpha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/>
            <w:r>
              <w:rPr>
                <w:rFonts w:ascii="Arial" w:hAnsi="Arial"/>
                <w:b/>
                <w:color w:val="1F4D78"/>
                <w:sz w:val="20"/>
              </w:rPr>
              <w:t>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2026-07-13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/>
            <w:r>
              <w:rPr>
                <w:rFonts w:ascii="Arial" w:hAnsi="Arial"/>
                <w:b/>
                <w:color w:val="1F4D78"/>
                <w:sz w:val="20"/>
              </w:rPr>
              <w:t>Decision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D-M27-01 — retain a 26.0% adoption target for M-27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r/>
            <w:r>
              <w:rPr>
                <w:rFonts w:ascii="Arial" w:hAnsi="Arial"/>
                <w:b/>
                <w:color w:val="1F4D78"/>
                <w:sz w:val="20"/>
              </w:rPr>
              <w:t>Release marker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M-27 | 2026-09-18</w:t>
            </w:r>
          </w:p>
        </w:tc>
      </w:tr>
    </w:tbl>
    <w:p>
      <w:pPr>
        <w:spacing w:after="80" w:line="264" w:lineRule="auto"/>
      </w:pPr>
      <w:r>
        <w:rPr>
          <w:rFonts w:ascii="Arial" w:hAnsi="Arial"/>
          <w:b w:val="0"/>
          <w:color w:val="000000"/>
          <w:sz w:val="22"/>
        </w:rPr>
      </w:r>
    </w:p>
    <w:p>
      <w:pPr>
        <w:pStyle w:val="Heading1"/>
        <w:spacing w:after="120" w:line="264" w:lineRule="auto"/>
      </w:pPr>
      <w:r>
        <w:rPr>
          <w:rFonts w:ascii="Arial" w:hAnsi="Arial"/>
          <w:b/>
          <w:color w:val="2E74B5"/>
          <w:sz w:val="32"/>
        </w:rPr>
        <w:t>Decision</w:t>
      </w:r>
    </w:p>
    <w:p>
      <w:pPr>
        <w:spacing w:after="160" w:line="264" w:lineRule="auto"/>
      </w:pPr>
      <w:r>
        <w:rPr>
          <w:rFonts w:ascii="Arial" w:hAnsi="Arial"/>
          <w:b w:val="0"/>
          <w:color w:val="000000"/>
          <w:sz w:val="22"/>
        </w:rPr>
        <w:t>Juniper Works will use the 2026-07-13 adoption baseline of 18.4% and target 26.0% by milestone M-27 on 2026-09-18. The Q3 release path is guided first-session setup, activation instrumentation, and a reviewable rollback check.</w:t>
      </w:r>
    </w:p>
    <w:p>
      <w:pPr>
        <w:pStyle w:val="Heading2"/>
        <w:spacing w:after="100" w:line="264" w:lineRule="auto"/>
      </w:pPr>
      <w:r>
        <w:rPr>
          <w:rFonts w:ascii="Arial" w:hAnsi="Arial"/>
          <w:b/>
          <w:color w:val="2E74B5"/>
          <w:sz w:val="26"/>
        </w:rPr>
        <w:t>Why this is the working decision</w:t>
      </w:r>
    </w:p>
    <w:p>
      <w:pPr>
        <w:pStyle w:val="ListBullet"/>
        <w:spacing w:after="100" w:line="280" w:lineRule="auto"/>
      </w:pPr>
      <w:r>
        <w:rPr>
          <w:rFonts w:ascii="Arial" w:hAnsi="Arial"/>
          <w:b w:val="0"/>
          <w:color w:val="000000"/>
          <w:sz w:val="22"/>
        </w:rPr>
        <w:t>The baseline gives Product Alpha Q3 one shared metric rather than competing cohort snapshots.</w:t>
      </w:r>
    </w:p>
    <w:p>
      <w:pPr>
        <w:pStyle w:val="ListBullet"/>
        <w:spacing w:after="100" w:line="280" w:lineRule="auto"/>
      </w:pPr>
      <w:r>
        <w:rPr>
          <w:rFonts w:ascii="Arial" w:hAnsi="Arial"/>
          <w:b w:val="0"/>
          <w:color w:val="000000"/>
          <w:sz w:val="22"/>
        </w:rPr>
        <w:t>Research triage places first-session friction ahead of broader acquisition messaging.</w:t>
      </w:r>
    </w:p>
    <w:p>
      <w:pPr>
        <w:pStyle w:val="ListBullet"/>
        <w:spacing w:after="100" w:line="280" w:lineRule="auto"/>
      </w:pPr>
      <w:r>
        <w:rPr>
          <w:rFonts w:ascii="Arial" w:hAnsi="Arial"/>
          <w:b w:val="0"/>
          <w:color w:val="000000"/>
          <w:sz w:val="22"/>
        </w:rPr>
        <w:t>The release cut stays narrow enough to inspect adoption movement before the M-27 milestone.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Arial" w:hAnsi="Arial"/>
          <w:b/>
          <w:color w:val="2E74B5"/>
          <w:sz w:val="32"/>
        </w:rPr>
        <w:t>Operating plan</w:t>
      </w:r>
    </w:p>
    <w:p>
      <w:pPr>
        <w:spacing w:after="160" w:line="264" w:lineRule="auto"/>
      </w:pPr>
      <w:r>
        <w:rPr>
          <w:rFonts w:ascii="Arial" w:hAnsi="Arial"/>
          <w:b w:val="0"/>
          <w:color w:val="000000"/>
          <w:sz w:val="22"/>
        </w:rPr>
        <w:t>The following actions are the accountable handoff from the M-27 mail thread. IDs, owners, dates, and source messages reconcile with inbox-triage.jsonl and mail-action-items.csv.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530"/>
        <w:gridCol w:w="2300"/>
        <w:gridCol w:w="308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Arial" w:hAnsi="Arial"/>
                <w:b/>
                <w:color w:val="1F4D78"/>
                <w:sz w:val="18"/>
              </w:rPr>
              <w:t>Action</w:t>
            </w:r>
          </w:p>
        </w:tc>
        <w:tc>
          <w:tcPr>
            <w:tcW w:type="dxa" w:w="253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Arial" w:hAnsi="Arial"/>
                <w:b/>
                <w:color w:val="1F4D78"/>
                <w:sz w:val="18"/>
              </w:rPr>
              <w:t>Owner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Arial" w:hAnsi="Arial"/>
                <w:b/>
                <w:color w:val="1F4D78"/>
                <w:sz w:val="18"/>
              </w:rPr>
              <w:t>Due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/>
            <w:r>
              <w:rPr>
                <w:rFonts w:ascii="Arial" w:hAnsi="Arial"/>
                <w:b/>
                <w:color w:val="1F4D78"/>
                <w:sz w:val="18"/>
              </w:rPr>
              <w:t>Definition of done</w:t>
            </w:r>
          </w:p>
        </w:tc>
      </w:tr>
      <w:tr>
        <w:tc>
          <w:tcPr>
            <w:tcW w:type="dxa" w:w="1450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M27-ACT-01</w:t>
            </w:r>
          </w:p>
        </w:tc>
        <w:tc>
          <w:tcPr>
            <w:tcW w:type="dxa" w:w="2530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role:analytics-lead</w:t>
            </w:r>
          </w:p>
        </w:tc>
        <w:tc>
          <w:tcPr>
            <w:tcW w:type="dxa" w:w="2300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2026-07-17</w:t>
            </w:r>
          </w:p>
        </w:tc>
        <w:tc>
          <w:tcPr>
            <w:tcW w:type="dxa" w:w="3080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Dashboard shows 18.4% baseline and 26.0% M-27 target.</w:t>
            </w:r>
          </w:p>
        </w:tc>
      </w:tr>
      <w:tr>
        <w:tc>
          <w:tcPr>
            <w:tcW w:type="dxa" w:w="1450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M27-ACT-02</w:t>
            </w:r>
          </w:p>
        </w:tc>
        <w:tc>
          <w:tcPr>
            <w:tcW w:type="dxa" w:w="2530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role:research-ops</w:t>
            </w:r>
          </w:p>
        </w:tc>
        <w:tc>
          <w:tcPr>
            <w:tcW w:type="dxa" w:w="2300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2026-07-22</w:t>
            </w:r>
          </w:p>
        </w:tc>
        <w:tc>
          <w:tcPr>
            <w:tcW w:type="dxa" w:w="3080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Top three friction themes are mapped to acceptance criteria.</w:t>
            </w:r>
          </w:p>
        </w:tc>
      </w:tr>
      <w:tr>
        <w:tc>
          <w:tcPr>
            <w:tcW w:type="dxa" w:w="1450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M27-ACT-03</w:t>
            </w:r>
          </w:p>
        </w:tc>
        <w:tc>
          <w:tcPr>
            <w:tcW w:type="dxa" w:w="2530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role:engineering-lead</w:t>
            </w:r>
          </w:p>
        </w:tc>
        <w:tc>
          <w:tcPr>
            <w:tcW w:type="dxa" w:w="2300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2026-07-29</w:t>
            </w:r>
          </w:p>
        </w:tc>
        <w:tc>
          <w:tcPr>
            <w:tcW w:type="dxa" w:w="3080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Release plan names guided setup, instrumentation, and rollback owner.</w:t>
            </w:r>
          </w:p>
        </w:tc>
      </w:tr>
      <w:tr>
        <w:tc>
          <w:tcPr>
            <w:tcW w:type="dxa" w:w="1450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M27-ACT-04</w:t>
            </w:r>
          </w:p>
        </w:tc>
        <w:tc>
          <w:tcPr>
            <w:tcW w:type="dxa" w:w="2530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role:customer-success</w:t>
            </w:r>
          </w:p>
        </w:tc>
        <w:tc>
          <w:tcPr>
            <w:tcW w:type="dxa" w:w="2300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2026-08-05</w:t>
            </w:r>
          </w:p>
        </w:tc>
        <w:tc>
          <w:tcPr>
            <w:tcW w:type="dxa" w:w="3080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Pilot cohort receives a reviewed enablement note before release readiness.</w:t>
            </w:r>
          </w:p>
        </w:tc>
      </w:tr>
    </w:tbl>
    <w:p>
      <w:pPr>
        <w:spacing w:after="160" w:line="264" w:lineRule="auto"/>
      </w:pPr>
      <w:r>
        <w:rPr>
          <w:rFonts w:ascii="Arial" w:hAnsi="Arial"/>
          <w:b w:val="0"/>
          <w:color w:val="5B6573"/>
          <w:sz w:val="18"/>
        </w:rPr>
        <w:t>Source: synthetic mail triage THR-M27-0713; no external mailbox or live transport was used.</w:t>
      </w:r>
    </w:p>
    <w:p>
      <w:pPr>
        <w:pStyle w:val="Heading2"/>
        <w:spacing w:after="100" w:line="264" w:lineRule="auto"/>
      </w:pPr>
      <w:r>
        <w:rPr>
          <w:rFonts w:ascii="Arial" w:hAnsi="Arial"/>
          <w:b/>
          <w:color w:val="2E74B5"/>
          <w:sz w:val="26"/>
        </w:rPr>
        <w:t>Review cadence</w:t>
      </w:r>
    </w:p>
    <w:p>
      <w:pPr>
        <w:pStyle w:val="ListBullet"/>
        <w:spacing w:after="100" w:line="280" w:lineRule="auto"/>
      </w:pPr>
      <w:r>
        <w:rPr>
          <w:rFonts w:ascii="Arial" w:hAnsi="Arial"/>
          <w:b w:val="0"/>
          <w:color w:val="000000"/>
          <w:sz w:val="22"/>
        </w:rPr>
        <w:t>Weekly signal review starts 2026-07-20 with the baseline and target definition visible to the core delivery roles.</w:t>
      </w:r>
    </w:p>
    <w:p>
      <w:pPr>
        <w:pStyle w:val="ListBullet"/>
        <w:spacing w:after="100" w:line="280" w:lineRule="auto"/>
      </w:pPr>
      <w:r>
        <w:rPr>
          <w:rFonts w:ascii="Arial" w:hAnsi="Arial"/>
          <w:b w:val="0"/>
          <w:color w:val="000000"/>
          <w:sz w:val="22"/>
        </w:rPr>
        <w:t>Scope confirmation occurs after setup requirements are mapped; changes need a written decision update under D-M27-01.</w:t>
      </w:r>
    </w:p>
    <w:p>
      <w:pPr>
        <w:pStyle w:val="ListBullet"/>
        <w:spacing w:after="100" w:line="280" w:lineRule="auto"/>
      </w:pPr>
      <w:r>
        <w:rPr>
          <w:rFonts w:ascii="Arial" w:hAnsi="Arial"/>
          <w:b w:val="0"/>
          <w:color w:val="000000"/>
          <w:sz w:val="22"/>
        </w:rPr>
        <w:t>Pilot enablement is ready before release readiness, with no dependency on a live customer list.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Arial" w:hAnsi="Arial"/>
          <w:b/>
          <w:color w:val="2E74B5"/>
          <w:sz w:val="32"/>
        </w:rPr>
        <w:t>Measurement and guardrails</w:t>
      </w:r>
    </w:p>
    <w:p>
      <w:pPr>
        <w:spacing w:after="160" w:line="264" w:lineRule="auto"/>
      </w:pPr>
      <w:r>
        <w:rPr>
          <w:rFonts w:ascii="Arial" w:hAnsi="Arial"/>
          <w:b w:val="0"/>
          <w:color w:val="000000"/>
          <w:sz w:val="22"/>
        </w:rPr>
        <w:t>The M-27 outcome is adoption movement, not shipment volume. The target is meaningful only when guided setup and instrumentation make the cohort journey observable.</w:t>
      </w:r>
    </w:p>
    <w:p>
      <w:pPr>
        <w:pStyle w:val="Heading2"/>
        <w:spacing w:after="100" w:line="264" w:lineRule="auto"/>
      </w:pPr>
      <w:r>
        <w:rPr>
          <w:rFonts w:ascii="Arial" w:hAnsi="Arial"/>
          <w:b/>
          <w:color w:val="2E74B5"/>
          <w:sz w:val="26"/>
        </w:rPr>
        <w:t>Metric definition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Arial" w:hAnsi="Arial"/>
                <w:b/>
                <w:color w:val="1F4D78"/>
                <w:sz w:val="20"/>
              </w:rPr>
              <w:t>Baseline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18.4% adoption at the 2026-07-13 synthetic export checkpoint.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Arial" w:hAnsi="Arial"/>
                <w:b/>
                <w:color w:val="1F4D78"/>
                <w:sz w:val="20"/>
              </w:rPr>
              <w:t>M-27 target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26.0% adoption by 2026-09-18.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Arial" w:hAnsi="Arial"/>
                <w:b/>
                <w:color w:val="1F4D78"/>
                <w:sz w:val="20"/>
              </w:rPr>
              <w:t>Decision 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D-M27-01; retained in the final thread message.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Arial" w:hAnsi="Arial"/>
                <w:b/>
                <w:color w:val="1F4D78"/>
                <w:sz w:val="20"/>
              </w:rPr>
              <w:t>Review scope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Guided setup, activation instrumentation, rollback check, and pilot enablement.</w:t>
            </w:r>
          </w:p>
        </w:tc>
      </w:tr>
    </w:tbl>
    <w:p>
      <w:pPr>
        <w:pStyle w:val="Heading2"/>
        <w:spacing w:after="100" w:line="264" w:lineRule="auto"/>
      </w:pPr>
      <w:r>
        <w:rPr>
          <w:rFonts w:ascii="Arial" w:hAnsi="Arial"/>
          <w:b/>
          <w:color w:val="2E74B5"/>
          <w:sz w:val="26"/>
        </w:rPr>
        <w:t>Guardrails</w:t>
      </w:r>
    </w:p>
    <w:p>
      <w:pPr>
        <w:spacing w:after="120" w:line="264" w:lineRule="auto"/>
      </w:pPr>
      <w:r>
        <w:rPr>
          <w:rFonts w:ascii="Arial" w:hAnsi="Arial"/>
          <w:b/>
          <w:color w:val="1F4D78"/>
          <w:sz w:val="22"/>
        </w:rPr>
        <w:t xml:space="preserve">Metric continuity. </w:t>
      </w:r>
      <w:r>
        <w:rPr>
          <w:rFonts w:ascii="Arial" w:hAnsi="Arial"/>
          <w:b w:val="0"/>
          <w:color w:val="000000"/>
          <w:sz w:val="22"/>
        </w:rPr>
        <w:t>Do not redefine adoption mid-cycle without recording a replacement decision and a before/after comparison.</w:t>
      </w:r>
    </w:p>
    <w:p>
      <w:pPr>
        <w:spacing w:after="120" w:line="264" w:lineRule="auto"/>
      </w:pPr>
      <w:r>
        <w:rPr>
          <w:rFonts w:ascii="Arial" w:hAnsi="Arial"/>
          <w:b/>
          <w:color w:val="1F4D78"/>
          <w:sz w:val="22"/>
        </w:rPr>
        <w:t xml:space="preserve">Scope discipline. </w:t>
      </w:r>
      <w:r>
        <w:rPr>
          <w:rFonts w:ascii="Arial" w:hAnsi="Arial"/>
          <w:b w:val="0"/>
          <w:color w:val="000000"/>
          <w:sz w:val="22"/>
        </w:rPr>
        <w:t>Do not broaden M-27 scope with unrelated acquisition work while setup requirements remain unverified.</w:t>
      </w:r>
    </w:p>
    <w:p>
      <w:pPr>
        <w:spacing w:after="120" w:line="264" w:lineRule="auto"/>
      </w:pPr>
      <w:r>
        <w:rPr>
          <w:rFonts w:ascii="Arial" w:hAnsi="Arial"/>
          <w:b/>
          <w:color w:val="1F4D78"/>
          <w:sz w:val="22"/>
        </w:rPr>
        <w:t xml:space="preserve">Release safety. </w:t>
      </w:r>
      <w:r>
        <w:rPr>
          <w:rFonts w:ascii="Arial" w:hAnsi="Arial"/>
          <w:b w:val="0"/>
          <w:color w:val="000000"/>
          <w:sz w:val="22"/>
        </w:rPr>
        <w:t>Escalate a rollback-risk signal through the engineering owner before release readiness is declared.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Arial" w:hAnsi="Arial"/>
          <w:b/>
          <w:color w:val="2E74B5"/>
          <w:sz w:val="32"/>
        </w:rPr>
        <w:t>Decision record and communication</w:t>
      </w:r>
    </w:p>
    <w:p>
      <w:pPr>
        <w:spacing w:after="160" w:line="264" w:lineRule="auto"/>
      </w:pPr>
      <w:r>
        <w:rPr>
          <w:rFonts w:ascii="Arial" w:hAnsi="Arial"/>
          <w:b w:val="0"/>
          <w:color w:val="000000"/>
          <w:sz w:val="22"/>
        </w:rPr>
        <w:t>Decision D-M27-01 is a synthetic internal record. It captures the working agreement established in the 2026-07-13 mail thread, with role-based identities and reserved .invalid addresses only.</w:t>
      </w:r>
    </w:p>
    <w:p>
      <w:pPr>
        <w:pStyle w:val="Heading2"/>
        <w:spacing w:after="100" w:line="264" w:lineRule="auto"/>
      </w:pPr>
      <w:r>
        <w:rPr>
          <w:rFonts w:ascii="Arial" w:hAnsi="Arial"/>
          <w:b/>
          <w:color w:val="2E74B5"/>
          <w:sz w:val="26"/>
        </w:rPr>
        <w:t>Recorded decisions</w:t>
      </w:r>
    </w:p>
    <w:p>
      <w:pPr>
        <w:pStyle w:val="ListBullet"/>
        <w:spacing w:after="100" w:line="280" w:lineRule="auto"/>
      </w:pPr>
      <w:r>
        <w:rPr>
          <w:rFonts w:ascii="Arial" w:hAnsi="Arial"/>
          <w:b w:val="0"/>
          <w:color w:val="000000"/>
          <w:sz w:val="22"/>
        </w:rPr>
        <w:t>Use 18.4% as the Product Alpha Q3 adoption baseline.</w:t>
      </w:r>
    </w:p>
    <w:p>
      <w:pPr>
        <w:pStyle w:val="ListBullet"/>
        <w:spacing w:after="100" w:line="280" w:lineRule="auto"/>
      </w:pPr>
      <w:r>
        <w:rPr>
          <w:rFonts w:ascii="Arial" w:hAnsi="Arial"/>
          <w:b w:val="0"/>
          <w:color w:val="000000"/>
          <w:sz w:val="22"/>
        </w:rPr>
        <w:t>Hold 26.0% as the M-27 adoption target for 2026-09-18.</w:t>
      </w:r>
    </w:p>
    <w:p>
      <w:pPr>
        <w:pStyle w:val="ListBullet"/>
        <w:spacing w:after="100" w:line="280" w:lineRule="auto"/>
      </w:pPr>
      <w:r>
        <w:rPr>
          <w:rFonts w:ascii="Arial" w:hAnsi="Arial"/>
          <w:b w:val="0"/>
          <w:color w:val="000000"/>
          <w:sz w:val="22"/>
        </w:rPr>
        <w:t>Sequence work as evidence definition, setup requirements, M-27 scope confirmation, then pilot enablement.</w:t>
      </w:r>
    </w:p>
    <w:p>
      <w:pPr>
        <w:pStyle w:val="ListBullet"/>
        <w:spacing w:after="100" w:line="280" w:lineRule="auto"/>
      </w:pPr>
      <w:r>
        <w:rPr>
          <w:rFonts w:ascii="Arial" w:hAnsi="Arial"/>
          <w:b w:val="0"/>
          <w:color w:val="000000"/>
          <w:sz w:val="22"/>
        </w:rPr>
        <w:t>Start weekly review on 2026-07-20 and preserve action IDs M27-ACT-01 through M27-ACT-04.</w:t>
      </w:r>
    </w:p>
    <w:p>
      <w:pPr>
        <w:pStyle w:val="Heading2"/>
        <w:spacing w:after="100" w:line="264" w:lineRule="auto"/>
      </w:pPr>
      <w:r>
        <w:rPr>
          <w:rFonts w:ascii="Arial" w:hAnsi="Arial"/>
          <w:b/>
          <w:color w:val="2E74B5"/>
          <w:sz w:val="26"/>
        </w:rPr>
        <w:t>Traceability</w:t>
      </w:r>
    </w:p>
    <w:p>
      <w:pPr>
        <w:spacing w:after="160" w:line="264" w:lineRule="auto"/>
      </w:pPr>
      <w:r>
        <w:rPr>
          <w:rFonts w:ascii="Arial" w:hAnsi="Arial"/>
          <w:b w:val="0"/>
          <w:color w:val="000000"/>
          <w:sz w:val="22"/>
        </w:rPr>
        <w:t>Mail thread: THR-M27-0713. Source message IDs: MSG-M27-0713-01 through MSG-M27-0713-05. The companion CSV is the operational action register; the JSONL is the inbox triage log. The adjacent PCAP is an offline synthetic transport fixture containing harmless metadata only.</w:t>
      </w:r>
    </w:p>
    <w:p>
      <w:pPr>
        <w:pStyle w:val="Heading2"/>
        <w:spacing w:after="100" w:line="264" w:lineRule="auto"/>
      </w:pPr>
      <w:r>
        <w:rPr>
          <w:rFonts w:ascii="Arial" w:hAnsi="Arial"/>
          <w:b/>
          <w:color w:val="2E74B5"/>
          <w:sz w:val="26"/>
        </w:rPr>
        <w:t>Next checkpoint</w:t>
      </w:r>
    </w:p>
    <w:p>
      <w:pPr>
        <w:spacing w:after="160" w:line="264" w:lineRule="auto"/>
      </w:pPr>
      <w:r>
        <w:rPr>
          <w:rFonts w:ascii="Arial" w:hAnsi="Arial"/>
          <w:b w:val="0"/>
          <w:color w:val="000000"/>
          <w:sz w:val="22"/>
        </w:rPr>
        <w:t>By 2026-07-29, the team should have a visible metric definition, accepted setup requirements, a release-cut confirmation, and a rollback check owner. The decision remains reviewable through the M-27 milestone date of 2026-09-18.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5B6573"/>
        <w:sz w:val="18"/>
      </w:rPr>
      <w:t>Synthetic internal planning artifact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B6573"/>
        <w:sz w:val="18"/>
      </w:rPr>
      <w:t>Juniper Works | Product Alpha Q3 | Decision 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M-27 adoption path decision memo</dc:title>
  <dc:subject>Product Alpha Q3 synthetic briefing</dc:subject>
  <dc:creator>Juniper Works Synthetic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