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Product Alpha Q3 PRD</w:t>
      </w:r>
    </w:p>
    <w:p>
      <w:r>
        <w:rPr>
          <w:i/>
          <w:color w:val="555555"/>
          <w:sz w:val="24"/>
        </w:rPr>
        <w:t>Approval-ready product requirements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Executive Team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Approved for planning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Decision summary</w:t>
      </w:r>
    </w:p>
    <w:p>
      <w:r>
        <w:t>Approve a guided rollout that improves first-value completion for Product Alpha across 1,240 eligible workspaces. The program uses a role-aware setup path, workspace invitations, and contextual nudges. M-27 on 2026-09-18 is the gate for expansion beyond the initial cohort.</w:t>
      </w:r>
    </w:p>
    <w:p>
      <w:r>
        <w:t>Outcome target: raise weekly active adoption from the 18.4% baseline to 26.0% by the Q3 close, without increasing permission-related support contacts per active workspace.</w:t>
      </w:r>
    </w:p>
    <w:p>
      <w:pPr>
        <w:pStyle w:val="Heading1"/>
      </w:pPr>
      <w:r>
        <w:t>Problem and opportunity</w:t>
      </w:r>
    </w:p>
    <w:p>
      <w:r>
        <w:t>New workspace owners can create a workspace but do not consistently reach a shared, repeatable team workflow. Early interviews and product signals point to three breakpoints: unclear activation ownership, invitations that lack context, and missing feedback when setup is incomplete.</w:t>
      </w:r>
    </w:p>
    <w:p>
      <w:r>
        <w:t>The Q3 opportunity is not broad feature expansion. It is a guided path that makes the first team outcome observable, safe, and reversible.</w:t>
      </w:r>
    </w:p>
    <w:p>
      <w:pPr>
        <w:pStyle w:val="Heading1"/>
      </w:pPr>
      <w:r>
        <w:t>Outcomes and non-goals</w:t>
      </w:r>
    </w:p>
    <w:p>
      <w:r>
        <w:t>Primary outcome: 26.0% adoption across the eligible 1,240-workspace population. Secondary outcomes: 62% setup-path completion, 45% owner-to-member invite conversion, and fewer than 2.0 permission-support contacts per 100 active workspaces.</w:t>
      </w:r>
    </w:p>
    <w:p>
      <w:r>
        <w:t>Non-goals: redesigning billing, replacing the admin console, building native mobile workflow creation, or changing data retention. See product-alpha-q3-non-goals.docx for decision boundaries.</w:t>
      </w:r>
    </w:p>
    <w:p>
      <w:pPr>
        <w:pStyle w:val="Heading1"/>
      </w:pPr>
      <w:r>
        <w:t>Personas by role</w:t>
      </w:r>
    </w:p>
    <w:p>
      <w:r>
        <w:t>Workspace owner: starts setup, selects a use case, invites collaborators, and needs confidence that existing work is unaffected.</w:t>
      </w:r>
    </w:p>
    <w:p>
      <w:r>
        <w:t>Admin: governs access, reviews elevated permissions, and needs auditable role changes.</w:t>
      </w:r>
    </w:p>
    <w:p>
      <w:r>
        <w:t>Contributor: accepts an invitation and completes the first assigned action without needing product training.</w:t>
      </w:r>
    </w:p>
    <w:p>
      <w:r>
        <w:t>Operations lead: assesses rollout readiness, adoption movement, support load, and opt-out signals.</w:t>
      </w:r>
    </w:p>
    <w:p>
      <w:pPr>
        <w:pStyle w:val="Heading1"/>
      </w:pPr>
      <w:r>
        <w:t>Functional requirements</w:t>
      </w:r>
    </w:p>
    <w:p>
      <w:r>
        <w:t>FR-1: A workspace owner can choose one of three guided use cases and resume the setup state across sessions.</w:t>
      </w:r>
    </w:p>
    <w:p>
      <w:r>
        <w:t>FR-2: The invite flow must state the role, rationale, and next action; invite expiry defaults to seven days.</w:t>
      </w:r>
    </w:p>
    <w:p>
      <w:r>
        <w:t>FR-3: Admins can review, approve, revoke, and export permission changes.</w:t>
      </w:r>
    </w:p>
    <w:p>
      <w:r>
        <w:t>FR-4: The product emits the governed event taxonomy in analytics-event-taxonomy-prd.docx.</w:t>
      </w:r>
    </w:p>
    <w:p>
      <w:r>
        <w:t>FR-5: The product provides an accessible keyboard path, screen-reader labels, and error recovery as specified in accessibility-requirements.docx.</w:t>
      </w:r>
    </w:p>
    <w:p>
      <w:pPr>
        <w:pStyle w:val="Heading1"/>
      </w:pPr>
      <w:r>
        <w:t>Non-functional requirements</w:t>
      </w:r>
    </w:p>
    <w:p>
      <w:r>
        <w:t>P95 guided-step response under 1.5 seconds for normal workspace traffic; availability follows the existing product SLO.</w:t>
      </w:r>
    </w:p>
    <w:p>
      <w:r>
        <w:t>No invitation or export action bypasses existing authorization; audit records retain actor role, action, target type, and timestamp.</w:t>
      </w:r>
    </w:p>
    <w:p>
      <w:r>
        <w:t>Instrumentation excludes message content and personal data; event payloads use opaque workspace and feature identifiers only.</w:t>
      </w:r>
    </w:p>
    <w:p>
      <w:pPr>
        <w:pStyle w:val="Heading1"/>
      </w:pPr>
      <w:r>
        <w:t>Measurement and rollout</w:t>
      </w:r>
    </w:p>
    <w:p>
      <w:r>
        <w:t>Instrumentation begins in dogfood. A weekly dashboard tracks adoption, completion, invite conversion, opt-outs, permission contacts, and cohort variance.</w:t>
      </w:r>
    </w:p>
    <w:p>
      <w:r>
        <w:t>Rollout sequence: internal verification (Aug 10), controlled cohort (Aug 24), guided rollout gate M-27 (Sep 18), then measured expansion if exit criteria pass. Beta exit criteria are documented in beta-exit-criteria.docx.</w:t>
      </w:r>
    </w:p>
    <w:p>
      <w:pPr>
        <w:pStyle w:val="Heading1"/>
      </w:pPr>
      <w:r>
        <w:t>Risks and open decisions</w:t>
      </w:r>
    </w:p>
    <w:p>
      <w:r>
        <w:t>Risk: an invite can feel like an access escalation. Mitigation: explicit role copy, admin approval where required, and in-product revoke.</w:t>
      </w:r>
    </w:p>
    <w:p>
      <w:r>
        <w:t>Risk: metric lift from repeat usage rather than new adoption. Mitigation: deduplicate at workspace-week and preserve the baseline definition.</w:t>
      </w:r>
    </w:p>
    <w:p>
      <w:r>
        <w:t>Open decision: default owner notification cadence after an incomplete setup; decide at PRD review using notification fatigue evidence. See alpha-prd-open-questions.md.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r>
        <w:br w:type="page"/>
      </w:r>
    </w:p>
    <w:p>
      <w:pPr>
        <w:pStyle w:val="Heading1"/>
      </w:pPr>
      <w:r>
        <w:t>Detailed rollout operating model</w:t>
      </w:r>
    </w:p>
    <w:p>
      <w:r>
        <w:t>During the controlled cohort, the release team reviews daily system health and weekly activation cohorts. Entry points are flag-controlled by workspace cohort. Support triage tags permission, accessibility, invite, and setup-state themes without collecting content. Expansion proposals include the cohort denominator and any exclusions.</w:t>
      </w:r>
    </w:p>
    <w:p>
      <w:pPr>
        <w:pStyle w:val="Heading2"/>
      </w:pPr>
      <w:r>
        <w:t>Accountability</w:t>
      </w:r>
    </w:p>
    <w:p>
      <w:r>
        <w:t>The Product Alpha owner consolidates evidence, records exceptions, and brings a clear go/no-go recommendation to the Launch Council. Decisions are made against the stated Q3 target, not against volume of feature delivery.</w:t>
      </w:r>
    </w:p>
    <w:p>
      <w:r>
        <w:br w:type="page"/>
      </w:r>
    </w:p>
    <w:p>
      <w:pPr>
        <w:pStyle w:val="Heading1"/>
      </w:pPr>
      <w:r>
        <w:t>Metric definition appendix</w:t>
      </w:r>
    </w:p>
    <w:p>
      <w:r>
        <w:t>Adoption is measured as the proportion of eligible workspaces with one qualifying shared workflow in a workspace-week. The baseline is 18.4% on 2026-07-13. The Q3 target is 26.0%. Invite conversion counts unique accepted invitations divided by unique sent invitations; retried sends do not increase the denominator.</w:t>
      </w:r>
    </w:p>
    <w:p>
      <w:pPr>
        <w:pStyle w:val="Heading2"/>
      </w:pPr>
      <w:r>
        <w:t>Accountability</w:t>
      </w:r>
    </w:p>
    <w:p>
      <w:r>
        <w:t>The Product Alpha owner consolidates evidence, records exceptions, and brings a clear go/no-go recommendation to the Launch Council. Decisions are made against the stated Q3 target, not against volume of feature delivery.</w:t>
      </w:r>
    </w:p>
    <w:p>
      <w:r>
        <w:br w:type="page"/>
      </w:r>
    </w:p>
    <w:p>
      <w:pPr>
        <w:pStyle w:val="Heading1"/>
      </w:pPr>
      <w:r>
        <w:t>Release readiness appendix</w:t>
      </w:r>
    </w:p>
    <w:p>
      <w:r>
        <w:t>Before M-27, Engineering completes rollback rehearsal, Admin Experience confirms authorization cases, Accessibility signs off on critical journeys, Analytics validates 99% event completeness, and Operations publishes the scorecard. A safety miss pauses expansion even if adoption rises.</w:t>
      </w:r>
    </w:p>
    <w:p>
      <w:pPr>
        <w:pStyle w:val="Heading2"/>
      </w:pPr>
      <w:r>
        <w:t>Accountability</w:t>
      </w:r>
    </w:p>
    <w:p>
      <w:r>
        <w:t>The Product Alpha owner consolidates evidence, records exceptions, and brings a clear go/no-go recommendation to the Launch Council. Decisions are made against the stated Q3 target, not against volume of feature delivery.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Q3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