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74B5"/>
          <w:sz w:val="18"/>
        </w:rPr>
        <w:t>PRODUCT BRIEF</w:t>
      </w:r>
    </w:p>
    <w:p>
      <w:pPr>
        <w:pStyle w:val="Title"/>
      </w:pPr>
      <w:r>
        <w:t>Product Alpha Q3 Accessibility Requirements</w:t>
      </w:r>
    </w:p>
    <w:p>
      <w:r>
        <w:rPr>
          <w:i/>
          <w:color w:val="555555"/>
          <w:sz w:val="24"/>
        </w:rPr>
        <w:t>Guided rollout and setup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To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Design and Engineering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2026-07-13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Status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Ready for implementation</w:t>
            </w:r>
          </w:p>
        </w:tc>
      </w:tr>
      <w:tr>
        <w:tc>
          <w:tcPr>
            <w:tcW w:type="dxa" w:w="4939"/>
            <w:shd w:fill="E8EEF5"/>
          </w:tcPr>
          <w:p>
            <w:r/>
            <w:r>
              <w:rPr>
                <w:b/>
                <w:sz w:val="19"/>
              </w:rPr>
              <w:t>Anchor</w:t>
            </w:r>
          </w:p>
        </w:tc>
        <w:tc>
          <w:tcPr>
            <w:tcW w:type="dxa" w:w="4939"/>
          </w:tcPr>
          <w:p>
            <w:r/>
            <w:r>
              <w:rPr>
                <w:b w:val="0"/>
                <w:sz w:val="19"/>
              </w:rPr>
              <w:t>M-27 2026-09-18 | 18.4% -&gt; 26.0% | 1,240 workspaces</w:t>
            </w:r>
          </w:p>
        </w:tc>
      </w:tr>
    </w:tbl>
    <w:p/>
    <w:p>
      <w:pPr>
        <w:pStyle w:val="Heading1"/>
      </w:pPr>
      <w:r>
        <w:t>Scope</w:t>
      </w:r>
    </w:p>
    <w:p>
      <w:r>
        <w:t>Applies to guided setup, invitations, permission review, export request states, and mobile notification settings for the Product Alpha Q3 release.</w:t>
      </w:r>
    </w:p>
    <w:p>
      <w:pPr>
        <w:pStyle w:val="Heading1"/>
      </w:pPr>
      <w:r>
        <w:t>Requirements</w:t>
      </w:r>
    </w:p>
    <w:p>
      <w:r>
        <w:t>Keyboard: every interactive control has a visible focus indicator and logical tab order; no pointer-only action is required.</w:t>
      </w:r>
    </w:p>
    <w:p>
      <w:r>
        <w:t>Screen reader: inputs have programmatic labels, errors are announced, progress is expressed as a named step and percentage, and role changes include before/after context.</w:t>
      </w:r>
    </w:p>
    <w:p>
      <w:r>
        <w:t>Visual: text and essential controls meet WCAG 2.2 AA contrast; status is never conveyed by color alone.</w:t>
      </w:r>
    </w:p>
    <w:p>
      <w:r>
        <w:t>Motion and timing: no setup task expires while active; notification preferences can be changed without gesture-only controls.</w:t>
      </w:r>
    </w:p>
    <w:p>
      <w:pPr>
        <w:pStyle w:val="Heading1"/>
      </w:pPr>
      <w:r>
        <w:t>Acceptance checks</w:t>
      </w:r>
    </w:p>
    <w:p>
      <w:r>
        <w:t>Run keyboard-only completion for the three guided use cases.</w:t>
      </w:r>
    </w:p>
    <w:p>
      <w:r>
        <w:t>Validate invite error, permission denial, and export-ready states with a screen reader.</w:t>
      </w:r>
    </w:p>
    <w:p>
      <w:r>
        <w:t>Review zoom at 200% and narrow mobile width with no hidden primary action.</w:t>
      </w:r>
    </w:p>
    <w:p>
      <w:pPr>
        <w:pStyle w:val="Heading1"/>
      </w:pPr>
      <w:r>
        <w:t>Release gate</w:t>
      </w:r>
    </w:p>
    <w:p>
      <w:r>
        <w:t>M-27 cannot pass with unresolved critical accessibility defects. Medium findings require an owner, mitigation date, and documented user impact.</w:t>
      </w:r>
    </w:p>
    <w:p>
      <w:r>
        <w:br w:type="page"/>
      </w:r>
    </w:p>
    <w:p>
      <w:pPr>
        <w:pStyle w:val="Heading1"/>
      </w:pPr>
      <w:r>
        <w:t>Implementation and verification detail</w:t>
      </w:r>
    </w:p>
    <w:p>
      <w:r>
        <w:t>Implementation owner will maintain a traceable mapping from the requirements in this brief to acceptance evidence. The controlled cohort is the first production-like validation point; no broad expansion is implied before M-27.</w:t>
      </w:r>
    </w:p>
    <w:p>
      <w:pPr>
        <w:pStyle w:val="Heading2"/>
      </w:pPr>
      <w:r>
        <w:t>Operational checklist</w:t>
      </w:r>
    </w:p>
    <w:p>
      <w:pPr>
        <w:pStyle w:val="ListBullet"/>
      </w:pPr>
      <w:r>
        <w:t>Confirm role and authorization behavior in a synthetic workspace.</w:t>
      </w:r>
    </w:p>
    <w:p>
      <w:pPr>
        <w:pStyle w:val="ListBullet"/>
      </w:pPr>
      <w:r>
        <w:t>Validate telemetry against the governed event contract.</w:t>
      </w:r>
    </w:p>
    <w:p>
      <w:pPr>
        <w:pStyle w:val="ListBullet"/>
      </w:pPr>
      <w:r>
        <w:t>Exercise the accessible keyboard and assistive-technology path.</w:t>
      </w:r>
    </w:p>
    <w:p>
      <w:pPr>
        <w:pStyle w:val="ListBullet"/>
      </w:pPr>
      <w:r>
        <w:t>Record support signals, opt-outs, and rollback readiness in the M-27 scorecard.</w:t>
      </w:r>
    </w:p>
    <w:p>
      <w:pPr>
        <w:pStyle w:val="Heading2"/>
      </w:pPr>
      <w:r>
        <w:t>Decision record</w:t>
      </w:r>
    </w:p>
    <w:p>
      <w:r>
        <w:t>Any scope, metric, or safety exception must be recorded as a dated decision with an accountable owner. This document remains aligned to the Product Alpha Q3 seed PRD and does not authorize unrelated work.</w:t>
      </w:r>
    </w:p>
    <w:p>
      <w:pPr/>
      <w:r>
        <w:rPr>
          <w:i/>
        </w:rPr>
        <w:t>Cross-reference: Product Alpha Q3 PRD; controlled rollout M-27; all examples and workspace references are synthetic.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Internal planning artifact | 2026-07-13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6"/>
      </w:rPr>
      <w:t>JUNIPER WORKS  /  PRODUCT ALPHA Q3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Alpha Q3 Accessibility Requirements</dc:title>
  <dc:subject/>
  <dc:creator>Juniper Works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