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4B5"/>
          <w:sz w:val="18"/>
        </w:rPr>
        <w:t>PRODUCT BRIEF</w:t>
      </w:r>
    </w:p>
    <w:p>
      <w:pPr>
        <w:pStyle w:val="Title"/>
      </w:pPr>
      <w:r>
        <w:t>Admin Console Permissions PRD</w:t>
      </w:r>
    </w:p>
    <w:p>
      <w:r>
        <w:rPr>
          <w:i/>
          <w:color w:val="555555"/>
          <w:sz w:val="24"/>
        </w:rPr>
        <w:t>Role governance for Product Alpha Q3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To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Platform and Admin Experience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2026-07-13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Decision ready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Anchor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M-27 2026-09-18 | 18.4% -&gt; 26.0% | 1,240 workspaces</w:t>
            </w:r>
          </w:p>
        </w:tc>
      </w:tr>
    </w:tbl>
    <w:p/>
    <w:p>
      <w:pPr>
        <w:pStyle w:val="Heading1"/>
      </w:pPr>
      <w:r>
        <w:t>Problem</w:t>
      </w:r>
    </w:p>
    <w:p>
      <w:r>
        <w:t>Admins need to enable guided rollout without granting broad, opaque access. Current role controls are understood by specialists but are difficult to review during a time-boxed launch.</w:t>
      </w:r>
    </w:p>
    <w:p>
      <w:pPr>
        <w:pStyle w:val="Heading1"/>
      </w:pPr>
      <w:r>
        <w:t>Requirements</w:t>
      </w:r>
    </w:p>
    <w:p>
      <w:r>
        <w:t>Expose Owner, Admin, Contributor, and Viewer capabilities in a readable matrix.</w:t>
      </w:r>
    </w:p>
    <w:p>
      <w:r>
        <w:t>Require explicit approval for role elevation where the workspace policy requires it.</w:t>
      </w:r>
    </w:p>
    <w:p>
      <w:r>
        <w:t>Show a review queue with requester role, requested role, reason, approver, expiry, and revoke action.</w:t>
      </w:r>
    </w:p>
    <w:p>
      <w:r>
        <w:t>Write immutable audit events for grant, decline, revoke, and export request.</w:t>
      </w:r>
    </w:p>
    <w:p>
      <w:pPr>
        <w:pStyle w:val="Heading1"/>
      </w:pPr>
      <w:r>
        <w:t>Success metrics</w:t>
      </w:r>
    </w:p>
    <w:p>
      <w:r>
        <w:t>At least 90% of permission requests receive a decision within one business day in the controlled cohort; permission-related contacts stay below 2.0 per 100 active workspaces.</w:t>
      </w:r>
    </w:p>
    <w:p>
      <w:pPr>
        <w:pStyle w:val="Heading1"/>
      </w:pPr>
      <w:r>
        <w:t>Dependencies and risks</w:t>
      </w:r>
    </w:p>
    <w:p>
      <w:r>
        <w:t>Depends on the invite flow and export audit trail. Risk: overly strict approval slows activation; mitigate through clearly scoped contributor defaults and delegated admin policy.</w:t>
      </w:r>
    </w:p>
    <w:p>
      <w:r>
        <w:br w:type="page"/>
      </w:r>
    </w:p>
    <w:p>
      <w:pPr>
        <w:pStyle w:val="Heading1"/>
      </w:pPr>
      <w:r>
        <w:t>Implementation and verification detail</w:t>
      </w:r>
    </w:p>
    <w:p>
      <w:r>
        <w:t>Implementation owner will maintain a traceable mapping from the requirements in this brief to acceptance evidence. The controlled cohort is the first production-like validation point; no broad expansion is implied before M-27.</w:t>
      </w:r>
    </w:p>
    <w:p>
      <w:pPr>
        <w:pStyle w:val="Heading2"/>
      </w:pPr>
      <w:r>
        <w:t>Operational checklist</w:t>
      </w:r>
    </w:p>
    <w:p>
      <w:pPr>
        <w:pStyle w:val="ListBullet"/>
      </w:pPr>
      <w:r>
        <w:t>Confirm role and authorization behavior in a synthetic workspace.</w:t>
      </w:r>
    </w:p>
    <w:p>
      <w:pPr>
        <w:pStyle w:val="ListBullet"/>
      </w:pPr>
      <w:r>
        <w:t>Validate telemetry against the governed event contract.</w:t>
      </w:r>
    </w:p>
    <w:p>
      <w:pPr>
        <w:pStyle w:val="ListBullet"/>
      </w:pPr>
      <w:r>
        <w:t>Exercise the accessible keyboard and assistive-technology path.</w:t>
      </w:r>
    </w:p>
    <w:p>
      <w:pPr>
        <w:pStyle w:val="ListBullet"/>
      </w:pPr>
      <w:r>
        <w:t>Record support signals, opt-outs, and rollback readiness in the M-27 scorecard.</w:t>
      </w:r>
    </w:p>
    <w:p>
      <w:pPr>
        <w:pStyle w:val="Heading2"/>
      </w:pPr>
      <w:r>
        <w:t>Decision record</w:t>
      </w:r>
    </w:p>
    <w:p>
      <w:r>
        <w:t>Any scope, metric, or safety exception must be recorded as a dated decision with an accountable owner. This document remains aligned to the Product Alpha Q3 seed PRD and does not authorize unrelated work.</w:t>
      </w:r>
    </w:p>
    <w:p>
      <w:pPr/>
      <w:r>
        <w:rPr>
          <w:i/>
        </w:rPr>
        <w:t>Cross-reference: Product Alpha Q3 PRD; controlled rollout M-27; all examples and workspace references are synthetic.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Internal planning artifact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6"/>
      </w:rPr>
      <w:t>JUNIPER WORKS  /  PRODUCT ALPHA Q3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Console Permissions PRD</dc:title>
  <dc:subject/>
  <dc:creator>Juniper Works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