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4B5"/>
          <w:sz w:val="18"/>
        </w:rPr>
        <w:t>PRODUCT BRIEF</w:t>
      </w:r>
    </w:p>
    <w:p>
      <w:pPr>
        <w:pStyle w:val="Title"/>
      </w:pPr>
      <w:r>
        <w:t>Billing and Trial Guardrails PRD</w:t>
      </w:r>
    </w:p>
    <w:p>
      <w:r>
        <w:rPr>
          <w:i/>
          <w:color w:val="555555"/>
          <w:sz w:val="24"/>
        </w:rPr>
        <w:t>Prevent accidental commercial impact during guided rollout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To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Billing, Legal Operations, Product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2026-07-13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Scoped for Q3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Anchor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M-27 2026-09-18 | 18.4% -&gt; 26.0% | 1,240 workspaces</w:t>
            </w:r>
          </w:p>
        </w:tc>
      </w:tr>
    </w:tbl>
    <w:p/>
    <w:p>
      <w:pPr>
        <w:pStyle w:val="Heading1"/>
      </w:pPr>
      <w:r>
        <w:t>Intent</w:t>
      </w:r>
    </w:p>
    <w:p>
      <w:r>
        <w:t>Product Alpha Q3 must not create surprise charges or alter trial eligibility while owners complete guided setup.</w:t>
      </w:r>
    </w:p>
    <w:p>
      <w:pPr>
        <w:pStyle w:val="Heading1"/>
      </w:pPr>
      <w:r>
        <w:t>Requirements</w:t>
      </w:r>
    </w:p>
    <w:p>
      <w:r>
        <w:t>No setup step changes a plan, starts a paid period, or removes a trial without a separate explicit commercial confirmation.</w:t>
      </w:r>
    </w:p>
    <w:p>
      <w:r>
        <w:t>Trial status appears as contextual information only; product copy must not imply a renewal commitment.</w:t>
      </w:r>
    </w:p>
    <w:p>
      <w:r>
        <w:t>Usage indicators are informational and do not trigger billing actions.</w:t>
      </w:r>
    </w:p>
    <w:p>
      <w:r>
        <w:t>Support and audit views can identify the setup cohort without exposing payment data.</w:t>
      </w:r>
    </w:p>
    <w:p>
      <w:pPr>
        <w:pStyle w:val="Heading1"/>
      </w:pPr>
      <w:r>
        <w:t>Acceptance criteria</w:t>
      </w:r>
    </w:p>
    <w:p>
      <w:r>
        <w:t>A test workspace completes the full path with zero billing mutations.</w:t>
      </w:r>
    </w:p>
    <w:p>
      <w:r>
        <w:t>Copy review confirms that invitations and reminders contain no renewal or pricing claim.</w:t>
      </w:r>
    </w:p>
    <w:p>
      <w:r>
        <w:t>Rollback leaves trial and plan fields unchanged.</w:t>
      </w:r>
    </w:p>
    <w:p>
      <w:r>
        <w:br w:type="page"/>
      </w:r>
    </w:p>
    <w:p>
      <w:pPr>
        <w:pStyle w:val="Heading1"/>
      </w:pPr>
      <w:r>
        <w:t>Implementation and verification detail</w:t>
      </w:r>
    </w:p>
    <w:p>
      <w:r>
        <w:t>Implementation owner will maintain a traceable mapping from the requirements in this brief to acceptance evidence. The controlled cohort is the first production-like validation point; no broad expansion is implied before M-27.</w:t>
      </w:r>
    </w:p>
    <w:p>
      <w:pPr>
        <w:pStyle w:val="Heading2"/>
      </w:pPr>
      <w:r>
        <w:t>Operational checklist</w:t>
      </w:r>
    </w:p>
    <w:p>
      <w:pPr>
        <w:pStyle w:val="ListBullet"/>
      </w:pPr>
      <w:r>
        <w:t>Confirm role and authorization behavior in a synthetic workspace.</w:t>
      </w:r>
    </w:p>
    <w:p>
      <w:pPr>
        <w:pStyle w:val="ListBullet"/>
      </w:pPr>
      <w:r>
        <w:t>Validate telemetry against the governed event contract.</w:t>
      </w:r>
    </w:p>
    <w:p>
      <w:pPr>
        <w:pStyle w:val="ListBullet"/>
      </w:pPr>
      <w:r>
        <w:t>Exercise the accessible keyboard and assistive-technology path.</w:t>
      </w:r>
    </w:p>
    <w:p>
      <w:pPr>
        <w:pStyle w:val="ListBullet"/>
      </w:pPr>
      <w:r>
        <w:t>Record support signals, opt-outs, and rollback readiness in the M-27 scorecard.</w:t>
      </w:r>
    </w:p>
    <w:p>
      <w:pPr>
        <w:pStyle w:val="Heading2"/>
      </w:pPr>
      <w:r>
        <w:t>Decision record</w:t>
      </w:r>
    </w:p>
    <w:p>
      <w:r>
        <w:t>Any scope, metric, or safety exception must be recorded as a dated decision with an accountable owner. This document remains aligned to the Product Alpha Q3 seed PRD and does not authorize unrelated work.</w:t>
      </w:r>
    </w:p>
    <w:p>
      <w:pPr/>
      <w:r>
        <w:rPr>
          <w:i/>
        </w:rPr>
        <w:t>Cross-reference: Product Alpha Q3 PRD; controlled rollout M-27; all examples and workspace references are synthetic.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>Internal planning artifact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6"/>
      </w:rPr>
      <w:t>JUNIPER WORKS  /  PRODUCT ALPHA Q3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Billing and Trial Guardrails PRD</dc:title>
  <dc:subject/>
  <dc:creator>Juniper Works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