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18"/>
        </w:rPr>
        <w:t>PRODUCT BRIEF</w:t>
      </w:r>
    </w:p>
    <w:p>
      <w:pPr>
        <w:pStyle w:val="Title"/>
      </w:pPr>
      <w:r>
        <w:t>M-27 Scope Change PRD</w:t>
      </w:r>
    </w:p>
    <w:p>
      <w:r>
        <w:rPr>
          <w:i/>
          <w:color w:val="555555"/>
          <w:sz w:val="24"/>
        </w:rPr>
        <w:t>Decision record: guided rollout gate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To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Product Alpha Launch Council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2026-07-13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Proposed change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Anchor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M-27 2026-09-18 | 18.4% -&gt; 26.0% | 1,240 workspaces</w:t>
            </w:r>
          </w:p>
        </w:tc>
      </w:tr>
    </w:tbl>
    <w:p/>
    <w:p>
      <w:pPr>
        <w:pStyle w:val="Heading1"/>
      </w:pPr>
      <w:r>
        <w:t>Change</w:t>
      </w:r>
    </w:p>
    <w:p>
      <w:r>
        <w:t>Move M-27 from a broad feature-completeness checkpoint to a guided rollout decision on 2026-09-18. The change focuses approval on measured activation, accessibility, authorization, and reversibility.</w:t>
      </w:r>
    </w:p>
    <w:p>
      <w:pPr>
        <w:pStyle w:val="Heading1"/>
      </w:pPr>
      <w:r>
        <w:t>Included</w:t>
      </w:r>
    </w:p>
    <w:p>
      <w:r>
        <w:t>Guided setup, invite clarity, admin permission review, governed analytics, and rollback controls.</w:t>
      </w:r>
    </w:p>
    <w:p>
      <w:pPr>
        <w:pStyle w:val="Heading1"/>
      </w:pPr>
      <w:r>
        <w:t>Excluded</w:t>
      </w:r>
    </w:p>
    <w:p>
      <w:r>
        <w:t>Billing changes, generalized notification campaigns, workflow builder redesign, and retrospective data migration.</w:t>
      </w:r>
    </w:p>
    <w:p>
      <w:pPr>
        <w:pStyle w:val="Heading1"/>
      </w:pPr>
      <w:r>
        <w:t>Decision criteria</w:t>
      </w:r>
    </w:p>
    <w:p>
      <w:r>
        <w:t>Pass only when beta exit criteria are met and the Q3 target path is credible. If safety criteria fail, pause expansion regardless of adoption signal.</w:t>
      </w:r>
    </w:p>
    <w:p>
      <w:pPr>
        <w:pStyle w:val="Heading1"/>
      </w:pPr>
      <w:r>
        <w:t>Impact</w:t>
      </w:r>
    </w:p>
    <w:p>
      <w:r>
        <w:t>Engineering gains a smaller, testable release boundary; Operations gains an explicit scorecard; product retains the 26.0% target while protecting the 18.4% baseline definition.</w:t>
      </w:r>
    </w:p>
    <w:p>
      <w:r>
        <w:br w:type="page"/>
      </w:r>
    </w:p>
    <w:p>
      <w:pPr>
        <w:pStyle w:val="Heading1"/>
      </w:pPr>
      <w:r>
        <w:t>Implementation and verification detail</w:t>
      </w:r>
    </w:p>
    <w:p>
      <w:r>
        <w:t>Implementation owner will maintain a traceable mapping from the requirements in this brief to acceptance evidence. The controlled cohort is the first production-like validation point; no broad expansion is implied before M-27.</w:t>
      </w:r>
    </w:p>
    <w:p>
      <w:pPr>
        <w:pStyle w:val="Heading2"/>
      </w:pPr>
      <w:r>
        <w:t>Operational checklist</w:t>
      </w:r>
    </w:p>
    <w:p>
      <w:pPr>
        <w:pStyle w:val="ListBullet"/>
      </w:pPr>
      <w:r>
        <w:t>Confirm role and authorization behavior in a synthetic workspace.</w:t>
      </w:r>
    </w:p>
    <w:p>
      <w:pPr>
        <w:pStyle w:val="ListBullet"/>
      </w:pPr>
      <w:r>
        <w:t>Validate telemetry against the governed event contract.</w:t>
      </w:r>
    </w:p>
    <w:p>
      <w:pPr>
        <w:pStyle w:val="ListBullet"/>
      </w:pPr>
      <w:r>
        <w:t>Exercise the accessible keyboard and assistive-technology path.</w:t>
      </w:r>
    </w:p>
    <w:p>
      <w:pPr>
        <w:pStyle w:val="ListBullet"/>
      </w:pPr>
      <w:r>
        <w:t>Record support signals, opt-outs, and rollback readiness in the M-27 scorecard.</w:t>
      </w:r>
    </w:p>
    <w:p>
      <w:pPr>
        <w:pStyle w:val="Heading2"/>
      </w:pPr>
      <w:r>
        <w:t>Decision record</w:t>
      </w:r>
    </w:p>
    <w:p>
      <w:r>
        <w:t>Any scope, metric, or safety exception must be recorded as a dated decision with an accountable owner. This document remains aligned to the Product Alpha Q3 seed PRD and does not authorize unrelated work.</w:t>
      </w:r>
    </w:p>
    <w:p>
      <w:pPr/>
      <w:r>
        <w:rPr>
          <w:i/>
        </w:rPr>
        <w:t>Cross-reference: Product Alpha Q3 PRD; controlled rollout M-27; all examples and workspace references are synthetic.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Internal planning artifact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JUNIPER WORKS  /  PRODUCT ALPHA Q3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M-27 Scope Change PRD</dc:title>
  <dc:subject/>
  <dc:creator>Juniper Works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