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4B5"/>
          <w:sz w:val="18"/>
        </w:rPr>
        <w:t>PRODUCT BRIEF</w:t>
      </w:r>
    </w:p>
    <w:p>
      <w:pPr>
        <w:pStyle w:val="Title"/>
      </w:pPr>
      <w:r>
        <w:t>Product Alpha Q3 Non-Goals</w:t>
      </w:r>
    </w:p>
    <w:p>
      <w:r>
        <w:rPr>
          <w:i/>
          <w:color w:val="555555"/>
          <w:sz w:val="24"/>
        </w:rPr>
        <w:t>Decision boundaries for a focused guided rollout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To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Product Alpha Team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2026-07-13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Approved boundary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Anchor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M-27 2026-09-18 | 18.4% -&gt; 26.0% | 1,240 workspaces</w:t>
            </w:r>
          </w:p>
        </w:tc>
      </w:tr>
    </w:tbl>
    <w:p/>
    <w:p>
      <w:pPr>
        <w:pStyle w:val="Heading1"/>
      </w:pPr>
      <w:r>
        <w:t>Why boundaries matter</w:t>
      </w:r>
    </w:p>
    <w:p>
      <w:r>
        <w:t>The Q3 goal is better first-value completion, not a platform redesign. These exclusions keep M-27 reviewable and reversible.</w:t>
      </w:r>
    </w:p>
    <w:p>
      <w:pPr>
        <w:pStyle w:val="Heading1"/>
      </w:pPr>
      <w:r>
        <w:t>Non-goals</w:t>
      </w:r>
    </w:p>
    <w:p>
      <w:r>
        <w:t>Do not redesign subscriptions, invoices, trials, or entitlement logic.</w:t>
      </w:r>
    </w:p>
    <w:p>
      <w:r>
        <w:t>Do not introduce new persistent workspace roles beyond Owner, Admin, Contributor, and Viewer.</w:t>
      </w:r>
    </w:p>
    <w:p>
      <w:r>
        <w:t>Do not rebuild the workflow authoring surface.</w:t>
      </w:r>
    </w:p>
    <w:p>
      <w:r>
        <w:t>Do not migrate historical data, alter retention, or export message content.</w:t>
      </w:r>
    </w:p>
    <w:p>
      <w:r>
        <w:t>Do not use notification engagement as the primary success metric.</w:t>
      </w:r>
    </w:p>
    <w:p>
      <w:pPr>
        <w:pStyle w:val="Heading1"/>
      </w:pPr>
      <w:r>
        <w:t>Revisit trigger</w:t>
      </w:r>
    </w:p>
    <w:p>
      <w:r>
        <w:t>Any excluded item needs a separate PRD, a privacy and authorization review, and a post-M-27 decision.</w:t>
      </w:r>
    </w:p>
    <w:p>
      <w:r>
        <w:br w:type="page"/>
      </w:r>
    </w:p>
    <w:p>
      <w:pPr>
        <w:pStyle w:val="Heading1"/>
      </w:pPr>
      <w:r>
        <w:t>Implementation and verification detail</w:t>
      </w:r>
    </w:p>
    <w:p>
      <w:r>
        <w:t>Implementation owner will maintain a traceable mapping from the requirements in this brief to acceptance evidence. The controlled cohort is the first production-like validation point; no broad expansion is implied before M-27.</w:t>
      </w:r>
    </w:p>
    <w:p>
      <w:pPr>
        <w:pStyle w:val="Heading2"/>
      </w:pPr>
      <w:r>
        <w:t>Operational checklist</w:t>
      </w:r>
    </w:p>
    <w:p>
      <w:pPr>
        <w:pStyle w:val="ListBullet"/>
      </w:pPr>
      <w:r>
        <w:t>Confirm role and authorization behavior in a synthetic workspace.</w:t>
      </w:r>
    </w:p>
    <w:p>
      <w:pPr>
        <w:pStyle w:val="ListBullet"/>
      </w:pPr>
      <w:r>
        <w:t>Validate telemetry against the governed event contract.</w:t>
      </w:r>
    </w:p>
    <w:p>
      <w:pPr>
        <w:pStyle w:val="ListBullet"/>
      </w:pPr>
      <w:r>
        <w:t>Exercise the accessible keyboard and assistive-technology path.</w:t>
      </w:r>
    </w:p>
    <w:p>
      <w:pPr>
        <w:pStyle w:val="ListBullet"/>
      </w:pPr>
      <w:r>
        <w:t>Record support signals, opt-outs, and rollback readiness in the M-27 scorecard.</w:t>
      </w:r>
    </w:p>
    <w:p>
      <w:pPr>
        <w:pStyle w:val="Heading2"/>
      </w:pPr>
      <w:r>
        <w:t>Decision record</w:t>
      </w:r>
    </w:p>
    <w:p>
      <w:r>
        <w:t>Any scope, metric, or safety exception must be recorded as a dated decision with an accountable owner. This document remains aligned to the Product Alpha Q3 seed PRD and does not authorize unrelated work.</w:t>
      </w:r>
    </w:p>
    <w:p>
      <w:pPr/>
      <w:r>
        <w:rPr>
          <w:i/>
        </w:rPr>
        <w:t>Cross-reference: Product Alpha Q3 PRD; controlled rollout M-27; all examples and workspace references are synthetic.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Internal planning artifact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6"/>
      </w:rPr>
      <w:t>JUNIPER WORKS  /  PRODUCT ALPHA Q3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Q3 Non-Goals</dc:title>
  <dc:subject/>
  <dc:creator>Juniper Works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