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4B5"/>
          <w:sz w:val="18"/>
        </w:rPr>
        <w:t>PRODUCT BRIEF</w:t>
      </w:r>
    </w:p>
    <w:p>
      <w:pPr>
        <w:pStyle w:val="Title"/>
      </w:pPr>
      <w:r>
        <w:t>Workspace Invite Flow PRD</w:t>
      </w:r>
    </w:p>
    <w:p>
      <w:r>
        <w:rPr>
          <w:i/>
          <w:color w:val="555555"/>
          <w:sz w:val="24"/>
        </w:rPr>
        <w:t>Contextual invitations for Product Alpha Q3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To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Collaboration and Product Alpha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2026-07-13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Ready for review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Anchor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M-27 2026-09-18 | 18.4% -&gt; 26.0% | 1,240 workspaces</w:t>
            </w:r>
          </w:p>
        </w:tc>
      </w:tr>
    </w:tbl>
    <w:p/>
    <w:p>
      <w:pPr>
        <w:pStyle w:val="Heading1"/>
      </w:pPr>
      <w:r>
        <w:t>Problem</w:t>
      </w:r>
    </w:p>
    <w:p>
      <w:r>
        <w:t>An owner can invite a colleague, but the invitation often lacks enough context to motivate acceptance and may create concern about access level.</w:t>
      </w:r>
    </w:p>
    <w:p>
      <w:pPr>
        <w:pStyle w:val="Heading1"/>
      </w:pPr>
      <w:r>
        <w:t>Requirements</w:t>
      </w:r>
    </w:p>
    <w:p>
      <w:r>
        <w:t>Invite composer names the workspace, selected role, rationale, expiry, and first action.</w:t>
      </w:r>
    </w:p>
    <w:p>
      <w:r>
        <w:t>Default role is Contributor; elevated roles route to the admin approval flow when policy requires it.</w:t>
      </w:r>
    </w:p>
    <w:p>
      <w:r>
        <w:t>Recipient can accept, decline, or request clarification without exposing workspace content.</w:t>
      </w:r>
    </w:p>
    <w:p>
      <w:r>
        <w:t>Owner sees send, delivery eligibility, acceptance, decline, and expiry states.</w:t>
      </w:r>
    </w:p>
    <w:p>
      <w:pPr>
        <w:pStyle w:val="Heading1"/>
      </w:pPr>
      <w:r>
        <w:t>Acceptance criteria</w:t>
      </w:r>
    </w:p>
    <w:p>
      <w:r>
        <w:t>At least 45% invite acceptance in the controlled cohort; all actions are accessible by keyboard and announced to assistive technology; audit events reconcile with the approved taxonomy.</w:t>
      </w:r>
    </w:p>
    <w:p>
      <w:r>
        <w:br w:type="page"/>
      </w:r>
    </w:p>
    <w:p>
      <w:pPr>
        <w:pStyle w:val="Heading1"/>
      </w:pPr>
      <w:r>
        <w:t>Implementation and verification detail</w:t>
      </w:r>
    </w:p>
    <w:p>
      <w:r>
        <w:t>Implementation owner will maintain a traceable mapping from the requirements in this brief to acceptance evidence. The controlled cohort is the first production-like validation point; no broad expansion is implied before M-27.</w:t>
      </w:r>
    </w:p>
    <w:p>
      <w:pPr>
        <w:pStyle w:val="Heading2"/>
      </w:pPr>
      <w:r>
        <w:t>Operational checklist</w:t>
      </w:r>
    </w:p>
    <w:p>
      <w:pPr>
        <w:pStyle w:val="ListBullet"/>
      </w:pPr>
      <w:r>
        <w:t>Confirm role and authorization behavior in a synthetic workspace.</w:t>
      </w:r>
    </w:p>
    <w:p>
      <w:pPr>
        <w:pStyle w:val="ListBullet"/>
      </w:pPr>
      <w:r>
        <w:t>Validate telemetry against the governed event contract.</w:t>
      </w:r>
    </w:p>
    <w:p>
      <w:pPr>
        <w:pStyle w:val="ListBullet"/>
      </w:pPr>
      <w:r>
        <w:t>Exercise the accessible keyboard and assistive-technology path.</w:t>
      </w:r>
    </w:p>
    <w:p>
      <w:pPr>
        <w:pStyle w:val="ListBullet"/>
      </w:pPr>
      <w:r>
        <w:t>Record support signals, opt-outs, and rollback readiness in the M-27 scorecard.</w:t>
      </w:r>
    </w:p>
    <w:p>
      <w:pPr>
        <w:pStyle w:val="Heading2"/>
      </w:pPr>
      <w:r>
        <w:t>Decision record</w:t>
      </w:r>
    </w:p>
    <w:p>
      <w:r>
        <w:t>Any scope, metric, or safety exception must be recorded as a dated decision with an accountable owner. This document remains aligned to the Product Alpha Q3 seed PRD and does not authorize unrelated work.</w:t>
      </w:r>
    </w:p>
    <w:p>
      <w:pPr/>
      <w:r>
        <w:rPr>
          <w:i/>
        </w:rPr>
        <w:t>Cross-reference: Product Alpha Q3 PRD; controlled rollout M-27; all examples and workspace references are synthetic.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Internal planning artifact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6"/>
      </w:rPr>
      <w:t>JUNIPER WORKS  /  PRODUCT ALPHA Q3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Workspace Invite Flow PRD</dc:title>
  <dc:subject/>
  <dc:creator>Juniper Works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