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Product Beta Q4 Product Requirements Document</w:t>
      </w:r>
    </w:p>
    <w:p>
      <w:pPr>
        <w:spacing w:after="200"/>
      </w:pPr>
      <w:r>
        <w:rPr>
          <w:color w:val="464646"/>
          <w:sz w:val="26"/>
        </w:rPr>
        <w:t>Admin automation and trusted reporting</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A Q4 product plan that turns Alpha learning into repeatable control for administrators and trustworthy decision support for teams..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A Q4 product plan that turns Alpha learning into repeatable control for administrators and trustworthy decision support for teams.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p>
      <w:r>
        <w:br w:type="page"/>
      </w:r>
    </w:p>
    <w:p>
      <w:pPr>
        <w:pStyle w:val="Heading1"/>
      </w:pPr>
      <w:r>
        <w:t>Rollout and measurement</w:t>
      </w:r>
    </w:p>
    <w:p>
      <w:r>
        <w:t>Success is measured weekly using completed setup rate, time to first governed action, report freshness visibility, and support-assisted completion rate. The initial threshold is a 70% self-serve completion rate with no unresolved critical audit defects.</w:t>
      </w:r>
    </w:p>
    <w:p>
      <w:pPr>
        <w:pStyle w:val="Heading2"/>
      </w:pPr>
      <w:r>
        <w:t>Rollout controls</w:t>
      </w:r>
    </w:p>
    <w:p>
      <w:pPr>
        <w:pStyle w:val="ListBullet"/>
      </w:pPr>
      <w:r>
        <w:t>Feature flag by eligible workspace cohort.</w:t>
      </w:r>
    </w:p>
    <w:p>
      <w:pPr>
        <w:pStyle w:val="ListBullet"/>
      </w:pPr>
      <w:r>
        <w:t>Named rollback owner and observable error threshold.</w:t>
      </w:r>
    </w:p>
    <w:p>
      <w:pPr>
        <w:pStyle w:val="ListBullet"/>
      </w:pPr>
      <w:r>
        <w:t>In-product notice that communicates scope and effective date.</w:t>
      </w:r>
    </w:p>
    <w:p>
      <w:r>
        <w:br w:type="page"/>
      </w:r>
    </w:p>
    <w:p>
      <w:pPr>
        <w:pStyle w:val="Heading1"/>
      </w:pPr>
      <w:r>
        <w:t>Risk review</w:t>
      </w:r>
    </w:p>
    <w:p>
      <w:r>
        <w:t>Primary risks are incomplete Alpha telemetry, administrator confusion around permissions, and reporting claims that cannot be reconciled. Mitigations are a pre-gate instrumentation review, explicit role copy, and a source-of-truth label on every report.</w:t>
      </w:r>
    </w:p>
    <w:p>
      <w:pPr>
        <w:pStyle w:val="Heading2"/>
      </w:pPr>
      <w:r>
        <w:t>Decision requested</w:t>
      </w:r>
    </w:p>
    <w:p>
      <w:r>
        <w:t>Approve the Q4 staged scope, retain the M-27 dependency, and authorize the cross-functional pilot once the acceptance evidence is complete.</w:t>
      </w:r>
    </w:p>
    <w:p>
      <w:r>
        <w:br w:type="page"/>
      </w:r>
    </w:p>
    <w:p>
      <w:pPr>
        <w:pStyle w:val="Heading1"/>
      </w:pPr>
      <w:r>
        <w:t>Risk review</w:t>
      </w:r>
    </w:p>
    <w:p>
      <w:r>
        <w:t>Launch readiness requires an accountable owner for each operational control. The pilot cannot expand until the owners below have reviewed the evidence package.</w:t>
      </w:r>
    </w:p>
    <w:p>
      <w:pPr>
        <w:pStyle w:val="Heading2"/>
      </w:pPr>
      <w:r>
        <w:t>Readiness checklist</w:t>
      </w:r>
    </w:p>
    <w:p>
      <w:pPr>
        <w:pStyle w:val="ListBullet"/>
      </w:pPr>
      <w:r>
        <w:t>Engineering: synthetic fixture and rollback verification complete.</w:t>
      </w:r>
    </w:p>
    <w:p>
      <w:pPr>
        <w:pStyle w:val="ListBullet"/>
      </w:pPr>
      <w:r>
        <w:t>Design: permission and warning states reviewed in Japanese and English.</w:t>
      </w:r>
    </w:p>
    <w:p>
      <w:pPr>
        <w:pStyle w:val="ListBullet"/>
      </w:pPr>
      <w:r>
        <w:t>Support: escalation path and known limitation copy approved.</w:t>
      </w:r>
    </w:p>
    <w:p>
      <w:pPr>
        <w:pStyle w:val="ListBullet"/>
      </w:pPr>
      <w:r>
        <w:t>Analytics: weekly metric definitions and cohort boundaries published.</w:t>
      </w:r>
    </w:p>
    <w:p>
      <w:r>
        <w:br w:type="page"/>
      </w:r>
    </w:p>
    <w:p>
      <w:pPr>
        <w:pStyle w:val="Heading1"/>
      </w:pPr>
      <w:r>
        <w:t>Risk review</w:t>
      </w:r>
    </w:p>
    <w:p>
      <w:r>
        <w:t>The following definitions keep the Q4 readout consistent across product, engineering, and support reviews.</w:t>
      </w:r>
    </w:p>
    <w:p>
      <w:pPr>
        <w:pStyle w:val="Heading2"/>
      </w:pPr>
      <w:r>
        <w:t>Measurement definitions</w:t>
      </w:r>
    </w:p>
    <w:p>
      <w:pPr>
        <w:pStyle w:val="ListBullet"/>
      </w:pPr>
      <w:r>
        <w:t>Self-serve completion: an eligible administrator finishes the primary setup flow without a support-created configuration.</w:t>
      </w:r>
    </w:p>
    <w:p>
      <w:pPr>
        <w:pStyle w:val="ListBullet"/>
      </w:pPr>
      <w:r>
        <w:t>Trusted report view: a report view where freshness, owner, and export policy are visible.</w:t>
      </w:r>
    </w:p>
    <w:p>
      <w:pPr>
        <w:pStyle w:val="ListBullet"/>
      </w:pPr>
      <w:r>
        <w:t>Critical audit defect: a missing or inaccurate record for a governed administrative action.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